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8D60" w14:textId="77777777" w:rsidR="009907E1" w:rsidRPr="006802F3" w:rsidRDefault="009907E1" w:rsidP="009907E1">
      <w:pPr>
        <w:pStyle w:val="Annexetitre"/>
        <w:rPr>
          <w:u w:val="none"/>
        </w:rPr>
      </w:pPr>
      <w:bookmarkStart w:id="0" w:name="_Toc371412374"/>
      <w:r>
        <w:rPr>
          <w:u w:val="none"/>
        </w:rPr>
        <w:t>LT</w:t>
      </w:r>
    </w:p>
    <w:p w14:paraId="1F6F7EDC" w14:textId="77777777" w:rsidR="009907E1" w:rsidRPr="006802F3" w:rsidRDefault="009907E1" w:rsidP="009907E1">
      <w:pPr>
        <w:rPr>
          <w:rFonts w:ascii="Times New Roman" w:hAnsi="Times New Roman"/>
        </w:rPr>
      </w:pPr>
    </w:p>
    <w:p w14:paraId="13626F74" w14:textId="77777777" w:rsidR="006802F3" w:rsidRDefault="006802F3" w:rsidP="006802F3">
      <w:pPr>
        <w:pStyle w:val="Annexetitre"/>
        <w:spacing w:after="480"/>
      </w:pPr>
      <w:bookmarkStart w:id="1" w:name="_Toc371412381"/>
      <w:bookmarkEnd w:id="0"/>
      <w:r>
        <w:t xml:space="preserve">II </w:t>
      </w:r>
      <w:bookmarkStart w:id="2" w:name="AnnexIII"/>
      <w:r>
        <w:t>PRIEDAS</w:t>
      </w:r>
      <w:bookmarkEnd w:id="2"/>
    </w:p>
    <w:p w14:paraId="425A6B17" w14:textId="77777777" w:rsidR="006802F3" w:rsidRPr="006802F3" w:rsidRDefault="006802F3" w:rsidP="006802F3">
      <w:pPr>
        <w:pStyle w:val="Annexetitre"/>
        <w:spacing w:after="480"/>
      </w:pPr>
      <w:r>
        <w:br/>
        <w:t>Informacija apie valstybės pagalbą, kuriai pagal šio reglamento sąlygas taikoma išimtis</w:t>
      </w:r>
      <w:bookmarkEnd w:id="1"/>
    </w:p>
    <w:p w14:paraId="21CB22CE" w14:textId="77777777" w:rsidR="006802F3" w:rsidRPr="006802F3" w:rsidRDefault="006802F3" w:rsidP="006802F3">
      <w:pPr>
        <w:spacing w:after="360"/>
        <w:jc w:val="center"/>
        <w:rPr>
          <w:rFonts w:ascii="Times New Roman" w:hAnsi="Times New Roman"/>
          <w:b/>
          <w:bCs/>
          <w:smallCaps/>
        </w:rPr>
      </w:pPr>
      <w:r>
        <w:rPr>
          <w:rFonts w:ascii="Times New Roman" w:hAnsi="Times New Roman"/>
          <w:b/>
          <w:smallCaps/>
        </w:rPr>
        <w:t>I dalis</w:t>
      </w:r>
    </w:p>
    <w:p w14:paraId="0902FD53" w14:textId="77777777" w:rsidR="006802F3" w:rsidRPr="006802F3" w:rsidRDefault="006802F3" w:rsidP="006802F3">
      <w:pPr>
        <w:spacing w:after="360"/>
        <w:jc w:val="center"/>
        <w:rPr>
          <w:rFonts w:ascii="Times New Roman" w:hAnsi="Times New Roman"/>
          <w:b/>
          <w:bCs/>
          <w:smallCaps/>
        </w:rPr>
      </w:pPr>
      <w:r>
        <w:rPr>
          <w:rFonts w:ascii="Times New Roman" w:hAnsi="Times New Roman"/>
          <w:b/>
        </w:rPr>
        <w:t>teiktina naudojant nustatytą Komisijos IT programą, kaip nurodyta 11 straipsnyje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6802F3" w14:paraId="3E757731" w14:textId="77777777" w:rsidTr="00317E7D">
        <w:tc>
          <w:tcPr>
            <w:tcW w:w="2126" w:type="dxa"/>
          </w:tcPr>
          <w:p w14:paraId="52BD0D60" w14:textId="77777777" w:rsidR="006802F3" w:rsidRPr="006802F3" w:rsidRDefault="006802F3" w:rsidP="00C6449A">
            <w:pPr>
              <w:spacing w:after="0"/>
              <w:rPr>
                <w:rFonts w:ascii="Times New Roman" w:hAnsi="Times New Roman"/>
                <w:b/>
              </w:rPr>
            </w:pPr>
            <w:r>
              <w:rPr>
                <w:rFonts w:ascii="Times New Roman" w:hAnsi="Times New Roman"/>
                <w:b/>
              </w:rPr>
              <w:t>Pagalbos numeris</w:t>
            </w:r>
          </w:p>
        </w:tc>
        <w:tc>
          <w:tcPr>
            <w:tcW w:w="6667" w:type="dxa"/>
            <w:gridSpan w:val="4"/>
          </w:tcPr>
          <w:p w14:paraId="39B70CDE" w14:textId="77777777" w:rsidR="006802F3" w:rsidRPr="006802F3" w:rsidRDefault="006802F3" w:rsidP="00C6449A">
            <w:pPr>
              <w:spacing w:after="0"/>
              <w:rPr>
                <w:rFonts w:ascii="Times New Roman" w:hAnsi="Times New Roman"/>
              </w:rPr>
            </w:pPr>
            <w:r>
              <w:rPr>
                <w:rFonts w:ascii="Times New Roman" w:hAnsi="Times New Roman"/>
                <w:i/>
              </w:rPr>
              <w:t>(Pildo Komisija)</w:t>
            </w:r>
          </w:p>
        </w:tc>
      </w:tr>
      <w:tr w:rsidR="006802F3" w:rsidRPr="006802F3" w14:paraId="16137F1F" w14:textId="77777777" w:rsidTr="00317E7D">
        <w:tc>
          <w:tcPr>
            <w:tcW w:w="2126" w:type="dxa"/>
          </w:tcPr>
          <w:p w14:paraId="3B6A64C6" w14:textId="77777777" w:rsidR="006802F3" w:rsidRPr="006802F3" w:rsidRDefault="006802F3" w:rsidP="00C6449A">
            <w:pPr>
              <w:spacing w:after="0"/>
              <w:rPr>
                <w:rFonts w:ascii="Times New Roman" w:hAnsi="Times New Roman"/>
                <w:b/>
              </w:rPr>
            </w:pPr>
            <w:r>
              <w:rPr>
                <w:rFonts w:ascii="Times New Roman" w:hAnsi="Times New Roman"/>
                <w:b/>
              </w:rPr>
              <w:t>Valstybė narė</w:t>
            </w:r>
          </w:p>
        </w:tc>
        <w:tc>
          <w:tcPr>
            <w:tcW w:w="6667" w:type="dxa"/>
            <w:gridSpan w:val="4"/>
          </w:tcPr>
          <w:p w14:paraId="7BA8CED3" w14:textId="77777777"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14:paraId="503187A8" w14:textId="77777777" w:rsidTr="00317E7D">
        <w:tc>
          <w:tcPr>
            <w:tcW w:w="2126" w:type="dxa"/>
          </w:tcPr>
          <w:p w14:paraId="05009584" w14:textId="77777777" w:rsidR="006802F3" w:rsidRPr="006802F3" w:rsidRDefault="006802F3" w:rsidP="00C6449A">
            <w:pPr>
              <w:spacing w:after="0"/>
              <w:rPr>
                <w:rFonts w:ascii="Times New Roman" w:hAnsi="Times New Roman"/>
                <w:b/>
              </w:rPr>
            </w:pPr>
            <w:r>
              <w:rPr>
                <w:rFonts w:ascii="Times New Roman" w:hAnsi="Times New Roman"/>
                <w:b/>
              </w:rPr>
              <w:t>Valstybės narės numeris</w:t>
            </w:r>
          </w:p>
        </w:tc>
        <w:tc>
          <w:tcPr>
            <w:tcW w:w="6667" w:type="dxa"/>
            <w:gridSpan w:val="4"/>
          </w:tcPr>
          <w:p w14:paraId="0274A6D9" w14:textId="77777777"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14:paraId="5EF19133" w14:textId="77777777" w:rsidTr="00317E7D">
        <w:trPr>
          <w:trHeight w:val="278"/>
        </w:trPr>
        <w:tc>
          <w:tcPr>
            <w:tcW w:w="2126" w:type="dxa"/>
          </w:tcPr>
          <w:p w14:paraId="172E140C" w14:textId="77777777" w:rsidR="006802F3" w:rsidRPr="006802F3" w:rsidRDefault="006802F3" w:rsidP="00C6449A">
            <w:pPr>
              <w:spacing w:after="0"/>
              <w:rPr>
                <w:rFonts w:ascii="Times New Roman" w:hAnsi="Times New Roman"/>
                <w:b/>
              </w:rPr>
            </w:pPr>
            <w:r>
              <w:rPr>
                <w:rFonts w:ascii="Times New Roman" w:hAnsi="Times New Roman"/>
                <w:b/>
              </w:rPr>
              <w:t>Regionas</w:t>
            </w:r>
          </w:p>
        </w:tc>
        <w:tc>
          <w:tcPr>
            <w:tcW w:w="2802" w:type="dxa"/>
          </w:tcPr>
          <w:p w14:paraId="5DC3DCEF" w14:textId="77777777" w:rsidR="006802F3" w:rsidRDefault="006802F3" w:rsidP="00C6449A">
            <w:pPr>
              <w:spacing w:after="0"/>
              <w:rPr>
                <w:rFonts w:ascii="Times New Roman" w:hAnsi="Times New Roman"/>
                <w:b/>
                <w:i/>
              </w:rPr>
            </w:pPr>
            <w:r>
              <w:rPr>
                <w:rFonts w:ascii="Times New Roman" w:hAnsi="Times New Roman"/>
                <w:b/>
              </w:rPr>
              <w:t xml:space="preserve">Regiono (-ų) pavadinimas </w:t>
            </w:r>
            <w:r>
              <w:rPr>
                <w:rFonts w:ascii="Times New Roman" w:hAnsi="Times New Roman"/>
                <w:b/>
                <w:i/>
              </w:rPr>
              <w:t>(NUTS</w:t>
            </w:r>
            <w:r>
              <w:rPr>
                <w:rStyle w:val="FootnoteReference"/>
                <w:rFonts w:ascii="Times New Roman" w:hAnsi="Times New Roman"/>
                <w:b/>
                <w:i/>
              </w:rPr>
              <w:footnoteReference w:id="1"/>
            </w:r>
            <w:r>
              <w:rPr>
                <w:rFonts w:ascii="Times New Roman" w:hAnsi="Times New Roman"/>
                <w:b/>
                <w:i/>
              </w:rPr>
              <w:t xml:space="preserve">) </w:t>
            </w:r>
          </w:p>
          <w:p w14:paraId="3DFFAF17" w14:textId="77777777" w:rsidR="00346533" w:rsidRDefault="00346533" w:rsidP="00C6449A">
            <w:pPr>
              <w:spacing w:after="0"/>
              <w:rPr>
                <w:rFonts w:ascii="Times New Roman" w:hAnsi="Times New Roman"/>
              </w:rPr>
            </w:pPr>
            <w:r>
              <w:rPr>
                <w:rFonts w:ascii="Times New Roman" w:hAnsi="Times New Roman"/>
              </w:rPr>
              <w:t>…………………………</w:t>
            </w:r>
          </w:p>
          <w:p w14:paraId="14ECDF46" w14:textId="77777777" w:rsidR="00346533" w:rsidRPr="00317E7D" w:rsidRDefault="00346533" w:rsidP="00C6449A">
            <w:pPr>
              <w:spacing w:after="0"/>
              <w:rPr>
                <w:rFonts w:ascii="Times New Roman" w:hAnsi="Times New Roman"/>
              </w:rPr>
            </w:pPr>
            <w:r>
              <w:rPr>
                <w:rFonts w:ascii="Times New Roman" w:hAnsi="Times New Roman"/>
              </w:rPr>
              <w:t>…………………………</w:t>
            </w:r>
          </w:p>
        </w:tc>
        <w:tc>
          <w:tcPr>
            <w:tcW w:w="3865" w:type="dxa"/>
            <w:gridSpan w:val="3"/>
          </w:tcPr>
          <w:p w14:paraId="5E3E32B4" w14:textId="77777777" w:rsidR="006802F3" w:rsidRPr="006802F3" w:rsidRDefault="006802F3" w:rsidP="00C6449A">
            <w:pPr>
              <w:spacing w:after="0"/>
              <w:rPr>
                <w:rFonts w:ascii="Times New Roman" w:hAnsi="Times New Roman"/>
                <w:b/>
              </w:rPr>
            </w:pPr>
            <w:r>
              <w:rPr>
                <w:rFonts w:ascii="Times New Roman" w:hAnsi="Times New Roman"/>
                <w:b/>
              </w:rPr>
              <w:t>Regioninės pagalbos statusas</w:t>
            </w:r>
            <w:r>
              <w:rPr>
                <w:rStyle w:val="FootnoteReference"/>
                <w:rFonts w:ascii="Times New Roman" w:hAnsi="Times New Roman"/>
                <w:b/>
              </w:rPr>
              <w:footnoteReference w:id="2"/>
            </w:r>
          </w:p>
          <w:p w14:paraId="132C1F06" w14:textId="77777777" w:rsidR="00346533" w:rsidRDefault="00346533" w:rsidP="00C6449A">
            <w:pPr>
              <w:spacing w:after="0"/>
              <w:rPr>
                <w:rFonts w:ascii="Times New Roman" w:hAnsi="Times New Roman"/>
                <w:b/>
              </w:rPr>
            </w:pPr>
          </w:p>
          <w:p w14:paraId="1EAEF7C8" w14:textId="77777777" w:rsidR="00346533" w:rsidRDefault="00346533" w:rsidP="00C6449A">
            <w:pPr>
              <w:spacing w:after="0"/>
              <w:rPr>
                <w:rFonts w:ascii="Times New Roman" w:hAnsi="Times New Roman"/>
              </w:rPr>
            </w:pPr>
            <w:r>
              <w:rPr>
                <w:rFonts w:ascii="Times New Roman" w:hAnsi="Times New Roman"/>
              </w:rPr>
              <w:t>………………………………………..</w:t>
            </w:r>
          </w:p>
          <w:p w14:paraId="39647BE3" w14:textId="77777777" w:rsidR="00346533" w:rsidRPr="00317E7D" w:rsidRDefault="00346533" w:rsidP="00C6449A">
            <w:pPr>
              <w:spacing w:after="0"/>
              <w:rPr>
                <w:rFonts w:ascii="Times New Roman" w:hAnsi="Times New Roman"/>
              </w:rPr>
            </w:pPr>
            <w:r>
              <w:rPr>
                <w:rFonts w:ascii="Times New Roman" w:hAnsi="Times New Roman"/>
              </w:rPr>
              <w:t>………………………………………..</w:t>
            </w:r>
          </w:p>
        </w:tc>
      </w:tr>
      <w:tr w:rsidR="006802F3" w:rsidRPr="006802F3" w14:paraId="4CD1AC6F" w14:textId="77777777" w:rsidTr="00317E7D">
        <w:trPr>
          <w:trHeight w:val="338"/>
        </w:trPr>
        <w:tc>
          <w:tcPr>
            <w:tcW w:w="2126" w:type="dxa"/>
            <w:vMerge w:val="restart"/>
          </w:tcPr>
          <w:p w14:paraId="745C3448" w14:textId="77777777" w:rsidR="006802F3" w:rsidRPr="006802F3" w:rsidRDefault="006802F3" w:rsidP="00C6449A">
            <w:pPr>
              <w:spacing w:after="0"/>
              <w:rPr>
                <w:rFonts w:ascii="Times New Roman" w:hAnsi="Times New Roman"/>
                <w:b/>
              </w:rPr>
            </w:pPr>
            <w:r>
              <w:rPr>
                <w:rFonts w:ascii="Times New Roman" w:hAnsi="Times New Roman"/>
                <w:b/>
              </w:rPr>
              <w:t>Pagalbą teikianti institucija</w:t>
            </w:r>
          </w:p>
        </w:tc>
        <w:tc>
          <w:tcPr>
            <w:tcW w:w="2802" w:type="dxa"/>
          </w:tcPr>
          <w:p w14:paraId="104E976F" w14:textId="77777777" w:rsidR="006802F3" w:rsidRPr="006802F3" w:rsidRDefault="006802F3" w:rsidP="00C6449A">
            <w:pPr>
              <w:spacing w:after="0"/>
              <w:rPr>
                <w:rFonts w:ascii="Times New Roman" w:hAnsi="Times New Roman"/>
                <w:b/>
              </w:rPr>
            </w:pPr>
            <w:r>
              <w:rPr>
                <w:rFonts w:ascii="Times New Roman" w:hAnsi="Times New Roman"/>
                <w:b/>
              </w:rPr>
              <w:t xml:space="preserve">Pavadinimas </w:t>
            </w:r>
          </w:p>
        </w:tc>
        <w:tc>
          <w:tcPr>
            <w:tcW w:w="3865" w:type="dxa"/>
            <w:gridSpan w:val="3"/>
          </w:tcPr>
          <w:p w14:paraId="321438BE" w14:textId="77777777"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14:paraId="4F858B2B" w14:textId="77777777" w:rsidTr="00317E7D">
        <w:trPr>
          <w:trHeight w:val="337"/>
        </w:trPr>
        <w:tc>
          <w:tcPr>
            <w:tcW w:w="2126" w:type="dxa"/>
            <w:vMerge/>
          </w:tcPr>
          <w:p w14:paraId="22D10F3E" w14:textId="77777777" w:rsidR="006802F3" w:rsidRPr="006802F3" w:rsidRDefault="006802F3" w:rsidP="00C6449A">
            <w:pPr>
              <w:spacing w:after="0"/>
              <w:rPr>
                <w:rFonts w:ascii="Times New Roman" w:hAnsi="Times New Roman"/>
                <w:b/>
              </w:rPr>
            </w:pPr>
          </w:p>
        </w:tc>
        <w:tc>
          <w:tcPr>
            <w:tcW w:w="2802" w:type="dxa"/>
          </w:tcPr>
          <w:p w14:paraId="49428D19" w14:textId="77777777" w:rsidR="006802F3" w:rsidRPr="006802F3" w:rsidRDefault="006802F3" w:rsidP="00C6449A">
            <w:pPr>
              <w:spacing w:after="0"/>
              <w:rPr>
                <w:rFonts w:ascii="Times New Roman" w:hAnsi="Times New Roman"/>
                <w:b/>
              </w:rPr>
            </w:pPr>
            <w:r>
              <w:rPr>
                <w:rFonts w:ascii="Times New Roman" w:hAnsi="Times New Roman"/>
                <w:b/>
              </w:rPr>
              <w:t>Pašto adresas</w:t>
            </w:r>
          </w:p>
          <w:p w14:paraId="192BCE2D" w14:textId="77777777" w:rsidR="006802F3" w:rsidRPr="006802F3" w:rsidRDefault="006802F3" w:rsidP="00C6449A">
            <w:pPr>
              <w:spacing w:after="0"/>
              <w:rPr>
                <w:rFonts w:ascii="Times New Roman" w:hAnsi="Times New Roman"/>
                <w:b/>
              </w:rPr>
            </w:pPr>
          </w:p>
          <w:p w14:paraId="409162DF" w14:textId="77777777" w:rsidR="006802F3" w:rsidRPr="006802F3" w:rsidRDefault="006802F3" w:rsidP="00C6449A">
            <w:pPr>
              <w:spacing w:after="0"/>
              <w:rPr>
                <w:rFonts w:ascii="Times New Roman" w:hAnsi="Times New Roman"/>
                <w:b/>
              </w:rPr>
            </w:pPr>
            <w:r>
              <w:rPr>
                <w:rFonts w:ascii="Times New Roman" w:hAnsi="Times New Roman"/>
                <w:b/>
              </w:rPr>
              <w:t>Svetainės adresas</w:t>
            </w:r>
          </w:p>
        </w:tc>
        <w:tc>
          <w:tcPr>
            <w:tcW w:w="3865" w:type="dxa"/>
            <w:gridSpan w:val="3"/>
          </w:tcPr>
          <w:p w14:paraId="248AECA4" w14:textId="77777777" w:rsidR="006802F3" w:rsidRDefault="00346533" w:rsidP="00C6449A">
            <w:pPr>
              <w:spacing w:after="0"/>
              <w:rPr>
                <w:rFonts w:ascii="Times New Roman" w:hAnsi="Times New Roman"/>
              </w:rPr>
            </w:pPr>
            <w:r>
              <w:rPr>
                <w:rFonts w:ascii="Times New Roman" w:hAnsi="Times New Roman"/>
              </w:rPr>
              <w:t>…………………………………………</w:t>
            </w:r>
          </w:p>
          <w:p w14:paraId="00A50B13" w14:textId="77777777" w:rsidR="00346533" w:rsidRDefault="00346533" w:rsidP="00C6449A">
            <w:pPr>
              <w:spacing w:after="0"/>
              <w:rPr>
                <w:rFonts w:ascii="Times New Roman" w:hAnsi="Times New Roman"/>
              </w:rPr>
            </w:pPr>
          </w:p>
          <w:p w14:paraId="56A693EB" w14:textId="77777777" w:rsidR="00346533" w:rsidRPr="006802F3" w:rsidRDefault="00346533" w:rsidP="00C6449A">
            <w:pPr>
              <w:spacing w:after="0"/>
              <w:rPr>
                <w:rFonts w:ascii="Times New Roman" w:hAnsi="Times New Roman"/>
              </w:rPr>
            </w:pPr>
            <w:r>
              <w:rPr>
                <w:rFonts w:ascii="Times New Roman" w:hAnsi="Times New Roman"/>
              </w:rPr>
              <w:t>…………………………………………</w:t>
            </w:r>
          </w:p>
        </w:tc>
      </w:tr>
      <w:tr w:rsidR="006802F3" w:rsidRPr="006802F3" w14:paraId="70B55139" w14:textId="77777777" w:rsidTr="00317E7D">
        <w:tc>
          <w:tcPr>
            <w:tcW w:w="2126" w:type="dxa"/>
            <w:tcBorders>
              <w:bottom w:val="dotted" w:sz="4" w:space="0" w:color="auto"/>
            </w:tcBorders>
          </w:tcPr>
          <w:p w14:paraId="5138CC08" w14:textId="77777777" w:rsidR="006802F3" w:rsidRPr="006802F3" w:rsidRDefault="006802F3" w:rsidP="00C6449A">
            <w:pPr>
              <w:spacing w:after="0"/>
              <w:rPr>
                <w:rFonts w:ascii="Times New Roman" w:hAnsi="Times New Roman"/>
                <w:b/>
              </w:rPr>
            </w:pPr>
            <w:r>
              <w:rPr>
                <w:rFonts w:ascii="Times New Roman" w:hAnsi="Times New Roman"/>
                <w:b/>
              </w:rPr>
              <w:t xml:space="preserve">Pagalbos priemonės pavadinimas </w:t>
            </w:r>
          </w:p>
        </w:tc>
        <w:tc>
          <w:tcPr>
            <w:tcW w:w="6667" w:type="dxa"/>
            <w:gridSpan w:val="4"/>
            <w:tcBorders>
              <w:bottom w:val="dotted" w:sz="4" w:space="0" w:color="auto"/>
            </w:tcBorders>
          </w:tcPr>
          <w:p w14:paraId="0AF83FD4" w14:textId="77777777"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14:paraId="4638693A" w14:textId="77777777" w:rsidTr="00317E7D">
        <w:trPr>
          <w:trHeight w:val="1140"/>
        </w:trPr>
        <w:tc>
          <w:tcPr>
            <w:tcW w:w="2126" w:type="dxa"/>
            <w:tcBorders>
              <w:top w:val="dotted" w:sz="4" w:space="0" w:color="auto"/>
              <w:bottom w:val="dotted" w:sz="4" w:space="0" w:color="auto"/>
            </w:tcBorders>
          </w:tcPr>
          <w:p w14:paraId="76F9F429" w14:textId="77777777" w:rsidR="006802F3" w:rsidRPr="006802F3" w:rsidRDefault="006802F3" w:rsidP="00C6449A">
            <w:pPr>
              <w:spacing w:after="0"/>
              <w:rPr>
                <w:rFonts w:ascii="Times New Roman" w:hAnsi="Times New Roman"/>
                <w:b/>
              </w:rPr>
            </w:pPr>
            <w:r>
              <w:rPr>
                <w:rFonts w:ascii="Times New Roman" w:hAnsi="Times New Roman"/>
                <w:b/>
              </w:rPr>
              <w:t>Nacionalinis teisinis pagrindas (nuoroda į atitinkamą nacionalinį oficialųjį leidinį)</w:t>
            </w:r>
          </w:p>
        </w:tc>
        <w:tc>
          <w:tcPr>
            <w:tcW w:w="6667" w:type="dxa"/>
            <w:gridSpan w:val="4"/>
            <w:tcBorders>
              <w:top w:val="dotted" w:sz="4" w:space="0" w:color="auto"/>
              <w:bottom w:val="dotted" w:sz="4" w:space="0" w:color="auto"/>
            </w:tcBorders>
          </w:tcPr>
          <w:p w14:paraId="6E18BDDB" w14:textId="77777777" w:rsidR="006802F3" w:rsidRPr="006802F3" w:rsidRDefault="00346533" w:rsidP="00C6449A">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14:paraId="126E13DB" w14:textId="77777777" w:rsidTr="00317E7D">
        <w:trPr>
          <w:trHeight w:val="803"/>
        </w:trPr>
        <w:tc>
          <w:tcPr>
            <w:tcW w:w="2126" w:type="dxa"/>
            <w:tcBorders>
              <w:top w:val="dotted" w:sz="4" w:space="0" w:color="auto"/>
            </w:tcBorders>
          </w:tcPr>
          <w:p w14:paraId="7D29BAD8" w14:textId="77777777" w:rsidR="006802F3" w:rsidRPr="006802F3" w:rsidRDefault="006802F3" w:rsidP="00C6449A">
            <w:pPr>
              <w:spacing w:after="0"/>
              <w:rPr>
                <w:rFonts w:ascii="Times New Roman" w:hAnsi="Times New Roman"/>
                <w:b/>
              </w:rPr>
            </w:pPr>
            <w:r>
              <w:rPr>
                <w:rFonts w:ascii="Times New Roman" w:hAnsi="Times New Roman"/>
                <w:b/>
              </w:rPr>
              <w:t xml:space="preserve">Interneto nuoroda į visą pagalbos priemonės tekstą </w:t>
            </w:r>
          </w:p>
        </w:tc>
        <w:tc>
          <w:tcPr>
            <w:tcW w:w="6667" w:type="dxa"/>
            <w:gridSpan w:val="4"/>
            <w:tcBorders>
              <w:top w:val="dotted" w:sz="4" w:space="0" w:color="auto"/>
            </w:tcBorders>
          </w:tcPr>
          <w:p w14:paraId="44F1FC6F" w14:textId="77777777"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14:paraId="05B51C8E" w14:textId="77777777" w:rsidTr="00317E7D">
        <w:trPr>
          <w:trHeight w:val="277"/>
        </w:trPr>
        <w:tc>
          <w:tcPr>
            <w:tcW w:w="2126" w:type="dxa"/>
            <w:vMerge w:val="restart"/>
          </w:tcPr>
          <w:p w14:paraId="23FC70C2" w14:textId="77777777" w:rsidR="006802F3" w:rsidRPr="006802F3" w:rsidRDefault="006802F3" w:rsidP="00C6449A">
            <w:pPr>
              <w:spacing w:after="0"/>
              <w:rPr>
                <w:rFonts w:ascii="Times New Roman" w:hAnsi="Times New Roman"/>
                <w:b/>
              </w:rPr>
            </w:pPr>
            <w:r>
              <w:rPr>
                <w:rFonts w:ascii="Times New Roman" w:hAnsi="Times New Roman"/>
                <w:b/>
              </w:rPr>
              <w:t xml:space="preserve">Priemonės rūšis </w:t>
            </w:r>
          </w:p>
        </w:tc>
        <w:tc>
          <w:tcPr>
            <w:tcW w:w="2944" w:type="dxa"/>
            <w:gridSpan w:val="2"/>
          </w:tcPr>
          <w:p w14:paraId="267E7ECC"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Schema</w:t>
            </w:r>
            <w:r>
              <w:t xml:space="preserve"> </w:t>
            </w:r>
          </w:p>
        </w:tc>
        <w:tc>
          <w:tcPr>
            <w:tcW w:w="3723" w:type="dxa"/>
            <w:gridSpan w:val="2"/>
          </w:tcPr>
          <w:p w14:paraId="5DD3140D" w14:textId="77777777" w:rsidR="006802F3" w:rsidRPr="006802F3" w:rsidRDefault="006802F3" w:rsidP="00C6449A">
            <w:pPr>
              <w:spacing w:after="0"/>
              <w:rPr>
                <w:rFonts w:ascii="Times New Roman" w:hAnsi="Times New Roman"/>
              </w:rPr>
            </w:pPr>
          </w:p>
        </w:tc>
      </w:tr>
      <w:tr w:rsidR="006802F3" w:rsidRPr="006802F3" w14:paraId="21575F4D" w14:textId="77777777" w:rsidTr="00317E7D">
        <w:trPr>
          <w:trHeight w:val="277"/>
        </w:trPr>
        <w:tc>
          <w:tcPr>
            <w:tcW w:w="2126" w:type="dxa"/>
            <w:vMerge/>
          </w:tcPr>
          <w:p w14:paraId="1015214C" w14:textId="77777777" w:rsidR="006802F3" w:rsidRPr="006802F3" w:rsidRDefault="006802F3" w:rsidP="00C6449A">
            <w:pPr>
              <w:spacing w:after="0"/>
              <w:rPr>
                <w:rFonts w:ascii="Times New Roman" w:hAnsi="Times New Roman"/>
                <w:b/>
              </w:rPr>
            </w:pPr>
          </w:p>
        </w:tc>
        <w:bookmarkStart w:id="3" w:name="Check1"/>
        <w:tc>
          <w:tcPr>
            <w:tcW w:w="2944" w:type="dxa"/>
            <w:gridSpan w:val="2"/>
          </w:tcPr>
          <w:p w14:paraId="15AB0C72"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bookmarkEnd w:id="3"/>
            <w:r>
              <w:t xml:space="preserve"> </w:t>
            </w:r>
            <w:r>
              <w:rPr>
                <w:rFonts w:ascii="Times New Roman" w:hAnsi="Times New Roman"/>
                <w:b/>
                <w:i/>
              </w:rPr>
              <w:t>Ad hoc</w:t>
            </w:r>
            <w:r w:rsidR="00EF31E0">
              <w:rPr>
                <w:rFonts w:ascii="Times New Roman" w:hAnsi="Times New Roman"/>
                <w:b/>
                <w:i/>
              </w:rPr>
              <w:t xml:space="preserve"> </w:t>
            </w:r>
            <w:r>
              <w:rPr>
                <w:rFonts w:ascii="Times New Roman" w:hAnsi="Times New Roman"/>
                <w:b/>
              </w:rPr>
              <w:t>pagalba</w:t>
            </w:r>
          </w:p>
        </w:tc>
        <w:tc>
          <w:tcPr>
            <w:tcW w:w="3723" w:type="dxa"/>
            <w:gridSpan w:val="2"/>
          </w:tcPr>
          <w:p w14:paraId="5E092EDB" w14:textId="77777777" w:rsidR="006802F3" w:rsidRPr="006802F3" w:rsidRDefault="006802F3" w:rsidP="00C6449A">
            <w:pPr>
              <w:spacing w:after="0"/>
              <w:rPr>
                <w:rFonts w:ascii="Times New Roman" w:hAnsi="Times New Roman"/>
              </w:rPr>
            </w:pPr>
            <w:r>
              <w:rPr>
                <w:rFonts w:ascii="Times New Roman" w:hAnsi="Times New Roman"/>
                <w:b/>
              </w:rPr>
              <w:t>Pagalbos gavėjo pavadinimas ir grupė</w:t>
            </w:r>
            <w:r>
              <w:rPr>
                <w:rStyle w:val="FootnoteReference"/>
                <w:rFonts w:ascii="Times New Roman" w:hAnsi="Times New Roman"/>
                <w:b/>
              </w:rPr>
              <w:footnoteReference w:id="3"/>
            </w:r>
            <w:r>
              <w:rPr>
                <w:rFonts w:ascii="Times New Roman" w:hAnsi="Times New Roman"/>
                <w:b/>
              </w:rPr>
              <w:t>, kuriai jis priklauso</w:t>
            </w:r>
            <w:r>
              <w:rPr>
                <w:rFonts w:ascii="Times New Roman" w:hAnsi="Times New Roman"/>
                <w:b/>
              </w:rPr>
              <w:br/>
            </w:r>
            <w:r>
              <w:rPr>
                <w:rFonts w:ascii="Times New Roman" w:hAnsi="Times New Roman"/>
              </w:rPr>
              <w:t>...............................................................</w:t>
            </w:r>
          </w:p>
        </w:tc>
      </w:tr>
      <w:tr w:rsidR="006802F3" w:rsidRPr="006802F3" w14:paraId="37034EA4" w14:textId="77777777" w:rsidTr="00317E7D">
        <w:trPr>
          <w:trHeight w:val="486"/>
        </w:trPr>
        <w:tc>
          <w:tcPr>
            <w:tcW w:w="2126" w:type="dxa"/>
            <w:vMerge w:val="restart"/>
          </w:tcPr>
          <w:p w14:paraId="2FEFDB59" w14:textId="77777777" w:rsidR="006802F3" w:rsidRPr="006802F3" w:rsidRDefault="006802F3" w:rsidP="00C6449A">
            <w:pPr>
              <w:spacing w:after="0"/>
              <w:rPr>
                <w:rFonts w:ascii="Times New Roman" w:hAnsi="Times New Roman"/>
                <w:b/>
              </w:rPr>
            </w:pPr>
            <w:r>
              <w:rPr>
                <w:rFonts w:ascii="Times New Roman" w:hAnsi="Times New Roman"/>
                <w:b/>
              </w:rPr>
              <w:t xml:space="preserve">Esamos pagalbos schemos arba </w:t>
            </w:r>
            <w:r>
              <w:rPr>
                <w:rFonts w:ascii="Times New Roman" w:hAnsi="Times New Roman"/>
                <w:b/>
                <w:i/>
              </w:rPr>
              <w:t>ad hoc</w:t>
            </w:r>
            <w:r>
              <w:rPr>
                <w:rFonts w:ascii="Times New Roman" w:hAnsi="Times New Roman"/>
                <w:b/>
              </w:rPr>
              <w:t xml:space="preserve"> pagalbos priemonės pakeitimas</w:t>
            </w:r>
          </w:p>
        </w:tc>
        <w:tc>
          <w:tcPr>
            <w:tcW w:w="2944" w:type="dxa"/>
            <w:gridSpan w:val="2"/>
            <w:shd w:val="clear" w:color="auto" w:fill="C0C0C0"/>
          </w:tcPr>
          <w:p w14:paraId="1FBEBF06" w14:textId="77777777" w:rsidR="006802F3" w:rsidRPr="006802F3" w:rsidRDefault="006802F3" w:rsidP="00C6449A">
            <w:pPr>
              <w:spacing w:after="0"/>
              <w:rPr>
                <w:rFonts w:ascii="Times New Roman" w:hAnsi="Times New Roman"/>
                <w:b/>
              </w:rPr>
            </w:pPr>
          </w:p>
        </w:tc>
        <w:tc>
          <w:tcPr>
            <w:tcW w:w="3723" w:type="dxa"/>
            <w:gridSpan w:val="2"/>
          </w:tcPr>
          <w:p w14:paraId="73B30CE9" w14:textId="77777777" w:rsidR="006802F3" w:rsidRPr="006802F3" w:rsidRDefault="006802F3" w:rsidP="00C6449A">
            <w:pPr>
              <w:spacing w:after="0"/>
              <w:rPr>
                <w:rFonts w:ascii="Times New Roman" w:hAnsi="Times New Roman"/>
                <w:b/>
              </w:rPr>
            </w:pPr>
            <w:r>
              <w:rPr>
                <w:rFonts w:ascii="Times New Roman" w:hAnsi="Times New Roman"/>
                <w:b/>
              </w:rPr>
              <w:t>Komisijos suteiktas pagalbos numeris</w:t>
            </w:r>
          </w:p>
        </w:tc>
      </w:tr>
      <w:tr w:rsidR="006802F3" w:rsidRPr="006802F3" w14:paraId="2FC64370" w14:textId="77777777" w:rsidTr="00317E7D">
        <w:trPr>
          <w:trHeight w:val="486"/>
        </w:trPr>
        <w:tc>
          <w:tcPr>
            <w:tcW w:w="2126" w:type="dxa"/>
            <w:vMerge/>
          </w:tcPr>
          <w:p w14:paraId="14ECB722" w14:textId="77777777" w:rsidR="006802F3" w:rsidRPr="006802F3" w:rsidRDefault="006802F3" w:rsidP="00C6449A">
            <w:pPr>
              <w:spacing w:after="0"/>
              <w:rPr>
                <w:rFonts w:ascii="Times New Roman" w:hAnsi="Times New Roman"/>
                <w:b/>
              </w:rPr>
            </w:pPr>
          </w:p>
        </w:tc>
        <w:tc>
          <w:tcPr>
            <w:tcW w:w="2944" w:type="dxa"/>
            <w:gridSpan w:val="2"/>
          </w:tcPr>
          <w:p w14:paraId="583A46C0"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Pratęsimas</w:t>
            </w:r>
          </w:p>
        </w:tc>
        <w:tc>
          <w:tcPr>
            <w:tcW w:w="3723" w:type="dxa"/>
            <w:gridSpan w:val="2"/>
          </w:tcPr>
          <w:p w14:paraId="4EB924D1" w14:textId="77777777"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14:paraId="641F72CB" w14:textId="77777777" w:rsidTr="00317E7D">
        <w:trPr>
          <w:trHeight w:val="486"/>
        </w:trPr>
        <w:tc>
          <w:tcPr>
            <w:tcW w:w="2126" w:type="dxa"/>
            <w:vMerge/>
          </w:tcPr>
          <w:p w14:paraId="6415ED89" w14:textId="77777777" w:rsidR="006802F3" w:rsidRPr="006802F3" w:rsidRDefault="006802F3" w:rsidP="00C6449A">
            <w:pPr>
              <w:spacing w:after="0"/>
              <w:rPr>
                <w:rFonts w:ascii="Times New Roman" w:hAnsi="Times New Roman"/>
                <w:b/>
              </w:rPr>
            </w:pPr>
          </w:p>
        </w:tc>
        <w:tc>
          <w:tcPr>
            <w:tcW w:w="2944" w:type="dxa"/>
            <w:gridSpan w:val="2"/>
          </w:tcPr>
          <w:p w14:paraId="38469668"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Pakeitimas</w:t>
            </w:r>
          </w:p>
        </w:tc>
        <w:tc>
          <w:tcPr>
            <w:tcW w:w="3723" w:type="dxa"/>
            <w:gridSpan w:val="2"/>
          </w:tcPr>
          <w:p w14:paraId="0704F45E" w14:textId="77777777"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14:paraId="50723AC8" w14:textId="77777777" w:rsidTr="00317E7D">
        <w:trPr>
          <w:trHeight w:val="338"/>
        </w:trPr>
        <w:tc>
          <w:tcPr>
            <w:tcW w:w="2126" w:type="dxa"/>
          </w:tcPr>
          <w:p w14:paraId="2583BBE0" w14:textId="77777777" w:rsidR="006802F3" w:rsidRPr="006802F3" w:rsidRDefault="006802F3" w:rsidP="00C6449A">
            <w:pPr>
              <w:spacing w:after="0"/>
              <w:rPr>
                <w:rFonts w:ascii="Times New Roman" w:hAnsi="Times New Roman"/>
                <w:b/>
              </w:rPr>
            </w:pPr>
            <w:r>
              <w:rPr>
                <w:rFonts w:ascii="Times New Roman" w:hAnsi="Times New Roman"/>
                <w:b/>
              </w:rPr>
              <w:t>Trukmė</w:t>
            </w:r>
            <w:r>
              <w:rPr>
                <w:rStyle w:val="FootnoteReference"/>
                <w:rFonts w:ascii="Times New Roman" w:hAnsi="Times New Roman"/>
                <w:b/>
              </w:rPr>
              <w:footnoteReference w:id="4"/>
            </w:r>
          </w:p>
        </w:tc>
        <w:tc>
          <w:tcPr>
            <w:tcW w:w="2944" w:type="dxa"/>
            <w:gridSpan w:val="2"/>
          </w:tcPr>
          <w:p w14:paraId="49CB49F4"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Schema</w:t>
            </w:r>
          </w:p>
        </w:tc>
        <w:tc>
          <w:tcPr>
            <w:tcW w:w="3723" w:type="dxa"/>
            <w:gridSpan w:val="2"/>
          </w:tcPr>
          <w:p w14:paraId="16E0FDB8" w14:textId="77777777" w:rsidR="006802F3" w:rsidRPr="006802F3" w:rsidRDefault="006802F3" w:rsidP="00807439">
            <w:pPr>
              <w:spacing w:after="0"/>
              <w:rPr>
                <w:rFonts w:ascii="Times New Roman" w:hAnsi="Times New Roman"/>
              </w:rPr>
            </w:pPr>
            <w:r>
              <w:rPr>
                <w:rFonts w:ascii="Times New Roman" w:hAnsi="Times New Roman"/>
              </w:rPr>
              <w:t>metai</w:t>
            </w:r>
            <w:r w:rsidRPr="00807439">
              <w:rPr>
                <w:rFonts w:ascii="Times New Roman" w:hAnsi="Times New Roman"/>
                <w:b/>
              </w:rPr>
              <w:t>-</w:t>
            </w:r>
            <w:r>
              <w:rPr>
                <w:rFonts w:ascii="Times New Roman" w:hAnsi="Times New Roman"/>
              </w:rPr>
              <w:t>mėnuo</w:t>
            </w:r>
            <w:r w:rsidRPr="00807439">
              <w:rPr>
                <w:rFonts w:ascii="Times New Roman" w:hAnsi="Times New Roman"/>
                <w:b/>
              </w:rPr>
              <w:t>-</w:t>
            </w:r>
            <w:r>
              <w:rPr>
                <w:rFonts w:ascii="Times New Roman" w:hAnsi="Times New Roman"/>
              </w:rPr>
              <w:t>diena </w:t>
            </w:r>
            <w:r w:rsidR="00807439">
              <w:rPr>
                <w:rFonts w:ascii="Times New Roman" w:hAnsi="Times New Roman"/>
                <w:b/>
              </w:rPr>
              <w:t>–</w:t>
            </w:r>
            <w:r>
              <w:rPr>
                <w:rFonts w:ascii="Times New Roman" w:hAnsi="Times New Roman"/>
              </w:rPr>
              <w:t> metai</w:t>
            </w:r>
            <w:r w:rsidRPr="00807439">
              <w:rPr>
                <w:rFonts w:ascii="Times New Roman" w:hAnsi="Times New Roman"/>
                <w:b/>
              </w:rPr>
              <w:t>-</w:t>
            </w:r>
            <w:r>
              <w:rPr>
                <w:rFonts w:ascii="Times New Roman" w:hAnsi="Times New Roman"/>
              </w:rPr>
              <w:t>mėnuo</w:t>
            </w:r>
            <w:r w:rsidRPr="00807439">
              <w:rPr>
                <w:rFonts w:ascii="Times New Roman" w:hAnsi="Times New Roman"/>
                <w:b/>
              </w:rPr>
              <w:t>-</w:t>
            </w:r>
            <w:r>
              <w:rPr>
                <w:rFonts w:ascii="Times New Roman" w:hAnsi="Times New Roman"/>
              </w:rPr>
              <w:t>diena</w:t>
            </w:r>
          </w:p>
        </w:tc>
      </w:tr>
      <w:tr w:rsidR="006802F3" w:rsidRPr="006802F3" w14:paraId="77F7A619" w14:textId="77777777" w:rsidTr="00317E7D">
        <w:trPr>
          <w:trHeight w:val="338"/>
        </w:trPr>
        <w:tc>
          <w:tcPr>
            <w:tcW w:w="2126" w:type="dxa"/>
          </w:tcPr>
          <w:p w14:paraId="4945FAAC" w14:textId="77777777" w:rsidR="006802F3" w:rsidRPr="006802F3" w:rsidRDefault="006802F3" w:rsidP="00C6449A">
            <w:pPr>
              <w:spacing w:after="0"/>
              <w:rPr>
                <w:rFonts w:ascii="Times New Roman" w:hAnsi="Times New Roman"/>
                <w:b/>
              </w:rPr>
            </w:pPr>
            <w:r>
              <w:rPr>
                <w:rFonts w:ascii="Times New Roman" w:hAnsi="Times New Roman"/>
                <w:b/>
              </w:rPr>
              <w:t>Suteikimo data</w:t>
            </w:r>
            <w:r>
              <w:rPr>
                <w:rStyle w:val="FootnoteReference"/>
                <w:rFonts w:ascii="Times New Roman" w:hAnsi="Times New Roman"/>
                <w:b/>
              </w:rPr>
              <w:footnoteReference w:id="5"/>
            </w:r>
            <w:r>
              <w:rPr>
                <w:rFonts w:ascii="Times New Roman" w:hAnsi="Times New Roman"/>
                <w:b/>
              </w:rPr>
              <w:t xml:space="preserve"> </w:t>
            </w:r>
          </w:p>
        </w:tc>
        <w:tc>
          <w:tcPr>
            <w:tcW w:w="2944" w:type="dxa"/>
            <w:gridSpan w:val="2"/>
          </w:tcPr>
          <w:p w14:paraId="1CAE8788"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i/>
              </w:rPr>
              <w:t>Ad hoc</w:t>
            </w:r>
            <w:r w:rsidR="00EF31E0">
              <w:rPr>
                <w:rFonts w:ascii="Times New Roman" w:hAnsi="Times New Roman"/>
                <w:b/>
                <w:i/>
              </w:rPr>
              <w:t xml:space="preserve"> </w:t>
            </w:r>
            <w:r>
              <w:rPr>
                <w:rFonts w:ascii="Times New Roman" w:hAnsi="Times New Roman"/>
                <w:b/>
              </w:rPr>
              <w:t>pagalba</w:t>
            </w:r>
          </w:p>
        </w:tc>
        <w:tc>
          <w:tcPr>
            <w:tcW w:w="3723" w:type="dxa"/>
            <w:gridSpan w:val="2"/>
          </w:tcPr>
          <w:p w14:paraId="6E922739" w14:textId="77777777" w:rsidR="006802F3" w:rsidRPr="006802F3" w:rsidRDefault="006802F3" w:rsidP="00C6449A">
            <w:pPr>
              <w:spacing w:after="0"/>
              <w:rPr>
                <w:rFonts w:ascii="Times New Roman" w:hAnsi="Times New Roman"/>
              </w:rPr>
            </w:pPr>
            <w:r>
              <w:rPr>
                <w:rFonts w:ascii="Times New Roman" w:hAnsi="Times New Roman"/>
              </w:rPr>
              <w:t>(metai</w:t>
            </w:r>
            <w:r w:rsidRPr="00807439">
              <w:rPr>
                <w:rFonts w:ascii="Times New Roman" w:hAnsi="Times New Roman"/>
                <w:b/>
              </w:rPr>
              <w:t>-</w:t>
            </w:r>
            <w:r>
              <w:rPr>
                <w:rFonts w:ascii="Times New Roman" w:hAnsi="Times New Roman"/>
              </w:rPr>
              <w:t>mėnuo</w:t>
            </w:r>
            <w:r w:rsidRPr="00807439">
              <w:rPr>
                <w:rFonts w:ascii="Times New Roman" w:hAnsi="Times New Roman"/>
                <w:b/>
              </w:rPr>
              <w:t>-</w:t>
            </w:r>
            <w:r>
              <w:rPr>
                <w:rFonts w:ascii="Times New Roman" w:hAnsi="Times New Roman"/>
              </w:rPr>
              <w:t>diena)</w:t>
            </w:r>
          </w:p>
        </w:tc>
      </w:tr>
      <w:tr w:rsidR="006802F3" w:rsidRPr="006802F3" w14:paraId="3D1857D3" w14:textId="77777777" w:rsidTr="00317E7D">
        <w:trPr>
          <w:trHeight w:val="535"/>
        </w:trPr>
        <w:tc>
          <w:tcPr>
            <w:tcW w:w="2126" w:type="dxa"/>
            <w:vMerge w:val="restart"/>
          </w:tcPr>
          <w:p w14:paraId="72ABF89A" w14:textId="77777777" w:rsidR="006802F3" w:rsidRPr="006802F3" w:rsidRDefault="006802F3" w:rsidP="00C6449A">
            <w:pPr>
              <w:spacing w:after="0"/>
              <w:rPr>
                <w:rFonts w:ascii="Times New Roman" w:hAnsi="Times New Roman"/>
                <w:b/>
              </w:rPr>
            </w:pPr>
            <w:r>
              <w:rPr>
                <w:rFonts w:ascii="Times New Roman" w:hAnsi="Times New Roman"/>
                <w:b/>
              </w:rPr>
              <w:t>Ekonomikos sektorius (-iai)</w:t>
            </w:r>
          </w:p>
        </w:tc>
        <w:tc>
          <w:tcPr>
            <w:tcW w:w="2944" w:type="dxa"/>
            <w:gridSpan w:val="2"/>
          </w:tcPr>
          <w:p w14:paraId="4A6D1EF6" w14:textId="77777777" w:rsidR="006802F3"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 xml:space="preserve">Visi ekonomikos sektoriai, atitinkantys pagalbos skyrimo reikalavimus </w:t>
            </w:r>
          </w:p>
        </w:tc>
        <w:tc>
          <w:tcPr>
            <w:tcW w:w="3723" w:type="dxa"/>
            <w:gridSpan w:val="2"/>
          </w:tcPr>
          <w:p w14:paraId="57499650" w14:textId="77777777" w:rsidR="006802F3" w:rsidRPr="006802F3" w:rsidRDefault="006802F3" w:rsidP="00C6449A">
            <w:pPr>
              <w:spacing w:after="0"/>
              <w:rPr>
                <w:rFonts w:ascii="Times New Roman" w:hAnsi="Times New Roman"/>
              </w:rPr>
            </w:pPr>
          </w:p>
        </w:tc>
      </w:tr>
      <w:tr w:rsidR="006802F3" w:rsidRPr="006802F3" w14:paraId="063B5FC2" w14:textId="77777777" w:rsidTr="00317E7D">
        <w:trPr>
          <w:trHeight w:val="820"/>
        </w:trPr>
        <w:tc>
          <w:tcPr>
            <w:tcW w:w="2126" w:type="dxa"/>
            <w:vMerge/>
          </w:tcPr>
          <w:p w14:paraId="69EE0E8B" w14:textId="77777777" w:rsidR="006802F3" w:rsidRPr="006802F3" w:rsidRDefault="006802F3" w:rsidP="00C6449A">
            <w:pPr>
              <w:spacing w:after="0"/>
              <w:rPr>
                <w:rFonts w:ascii="Times New Roman" w:hAnsi="Times New Roman"/>
                <w:b/>
              </w:rPr>
            </w:pPr>
          </w:p>
        </w:tc>
        <w:tc>
          <w:tcPr>
            <w:tcW w:w="2944" w:type="dxa"/>
            <w:gridSpan w:val="2"/>
          </w:tcPr>
          <w:p w14:paraId="6CB0E2FA" w14:textId="77777777" w:rsidR="006802F3" w:rsidRPr="006802F3"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Atskiri sektoriai. Nurodyti NACE grupės lygmeniu</w:t>
            </w:r>
            <w:r>
              <w:rPr>
                <w:rStyle w:val="FootnoteReference"/>
                <w:rFonts w:ascii="Times New Roman" w:hAnsi="Times New Roman"/>
                <w:b/>
              </w:rPr>
              <w:footnoteReference w:id="6"/>
            </w:r>
          </w:p>
        </w:tc>
        <w:tc>
          <w:tcPr>
            <w:tcW w:w="3723" w:type="dxa"/>
            <w:gridSpan w:val="2"/>
          </w:tcPr>
          <w:p w14:paraId="59009405" w14:textId="77777777" w:rsidR="006802F3" w:rsidRPr="006802F3" w:rsidRDefault="000674F4" w:rsidP="006101FC">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14:paraId="1C11EB30" w14:textId="77777777" w:rsidTr="00317E7D">
        <w:trPr>
          <w:trHeight w:val="185"/>
        </w:trPr>
        <w:tc>
          <w:tcPr>
            <w:tcW w:w="2126" w:type="dxa"/>
            <w:vMerge w:val="restart"/>
          </w:tcPr>
          <w:p w14:paraId="2ED54415" w14:textId="77777777" w:rsidR="006802F3" w:rsidRPr="006802F3" w:rsidRDefault="006802F3" w:rsidP="00C6449A">
            <w:pPr>
              <w:spacing w:after="0"/>
              <w:rPr>
                <w:rFonts w:ascii="Times New Roman" w:hAnsi="Times New Roman"/>
                <w:b/>
              </w:rPr>
            </w:pPr>
            <w:r>
              <w:rPr>
                <w:rFonts w:ascii="Times New Roman" w:hAnsi="Times New Roman"/>
                <w:b/>
              </w:rPr>
              <w:t>Pagalbos gavėjo rūšis</w:t>
            </w:r>
          </w:p>
        </w:tc>
        <w:tc>
          <w:tcPr>
            <w:tcW w:w="2944" w:type="dxa"/>
            <w:gridSpan w:val="2"/>
          </w:tcPr>
          <w:p w14:paraId="46A1B2B8"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MVĮ</w:t>
            </w:r>
          </w:p>
        </w:tc>
        <w:tc>
          <w:tcPr>
            <w:tcW w:w="3723" w:type="dxa"/>
            <w:gridSpan w:val="2"/>
          </w:tcPr>
          <w:p w14:paraId="4452158F" w14:textId="77777777" w:rsidR="006802F3" w:rsidRPr="006802F3" w:rsidRDefault="006802F3" w:rsidP="00C6449A">
            <w:pPr>
              <w:spacing w:after="0"/>
              <w:rPr>
                <w:rFonts w:ascii="Times New Roman" w:hAnsi="Times New Roman"/>
              </w:rPr>
            </w:pPr>
          </w:p>
        </w:tc>
      </w:tr>
      <w:tr w:rsidR="006802F3" w:rsidRPr="006802F3" w14:paraId="01FA6D4C" w14:textId="77777777" w:rsidTr="00317E7D">
        <w:trPr>
          <w:trHeight w:val="185"/>
        </w:trPr>
        <w:tc>
          <w:tcPr>
            <w:tcW w:w="2126" w:type="dxa"/>
            <w:vMerge/>
          </w:tcPr>
          <w:p w14:paraId="76785AEA" w14:textId="77777777" w:rsidR="006802F3" w:rsidRPr="006802F3" w:rsidRDefault="006802F3" w:rsidP="00C6449A">
            <w:pPr>
              <w:spacing w:after="0"/>
              <w:rPr>
                <w:rFonts w:ascii="Times New Roman" w:hAnsi="Times New Roman"/>
                <w:b/>
              </w:rPr>
            </w:pPr>
          </w:p>
        </w:tc>
        <w:tc>
          <w:tcPr>
            <w:tcW w:w="2944" w:type="dxa"/>
            <w:gridSpan w:val="2"/>
          </w:tcPr>
          <w:p w14:paraId="0244B1FB"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Didelės įmonės</w:t>
            </w:r>
          </w:p>
        </w:tc>
        <w:tc>
          <w:tcPr>
            <w:tcW w:w="3723" w:type="dxa"/>
            <w:gridSpan w:val="2"/>
          </w:tcPr>
          <w:p w14:paraId="206C9E1C" w14:textId="77777777" w:rsidR="006802F3" w:rsidRPr="006802F3" w:rsidRDefault="006802F3" w:rsidP="00C6449A">
            <w:pPr>
              <w:spacing w:after="0"/>
              <w:rPr>
                <w:rFonts w:ascii="Times New Roman" w:hAnsi="Times New Roman"/>
              </w:rPr>
            </w:pPr>
          </w:p>
        </w:tc>
      </w:tr>
      <w:tr w:rsidR="006802F3" w:rsidRPr="006802F3" w14:paraId="3F248164" w14:textId="77777777" w:rsidTr="00317E7D">
        <w:trPr>
          <w:trHeight w:val="337"/>
        </w:trPr>
        <w:tc>
          <w:tcPr>
            <w:tcW w:w="2126" w:type="dxa"/>
            <w:vMerge w:val="restart"/>
          </w:tcPr>
          <w:p w14:paraId="7F3FADE9" w14:textId="77777777" w:rsidR="006802F3" w:rsidRPr="006802F3" w:rsidRDefault="006802F3" w:rsidP="00C6449A">
            <w:pPr>
              <w:spacing w:after="0"/>
              <w:rPr>
                <w:rFonts w:ascii="Times New Roman" w:hAnsi="Times New Roman"/>
                <w:b/>
              </w:rPr>
            </w:pPr>
            <w:r>
              <w:rPr>
                <w:rFonts w:ascii="Times New Roman" w:hAnsi="Times New Roman"/>
                <w:b/>
              </w:rPr>
              <w:t xml:space="preserve">Biudžetas </w:t>
            </w:r>
          </w:p>
        </w:tc>
        <w:tc>
          <w:tcPr>
            <w:tcW w:w="2944" w:type="dxa"/>
            <w:gridSpan w:val="2"/>
          </w:tcPr>
          <w:p w14:paraId="48FFB16B" w14:textId="77777777" w:rsidR="006802F3" w:rsidRPr="006802F3" w:rsidRDefault="006802F3" w:rsidP="00C6449A">
            <w:pPr>
              <w:spacing w:after="0"/>
              <w:rPr>
                <w:rFonts w:ascii="Times New Roman" w:hAnsi="Times New Roman"/>
                <w:b/>
              </w:rPr>
            </w:pPr>
            <w:r>
              <w:rPr>
                <w:rFonts w:ascii="Times New Roman" w:hAnsi="Times New Roman"/>
                <w:b/>
              </w:rPr>
              <w:t>Pagal schemą planuojamo biudžeto bendra metinė suma</w:t>
            </w:r>
            <w:r>
              <w:rPr>
                <w:rStyle w:val="FootnoteReference"/>
                <w:rFonts w:ascii="Times New Roman" w:hAnsi="Times New Roman"/>
                <w:b/>
              </w:rPr>
              <w:footnoteReference w:id="7"/>
            </w:r>
          </w:p>
        </w:tc>
        <w:tc>
          <w:tcPr>
            <w:tcW w:w="3723" w:type="dxa"/>
            <w:gridSpan w:val="2"/>
          </w:tcPr>
          <w:p w14:paraId="14462453" w14:textId="77777777" w:rsidR="006802F3" w:rsidRPr="006802F3" w:rsidRDefault="006802F3" w:rsidP="00C6449A">
            <w:pPr>
              <w:spacing w:after="0"/>
              <w:rPr>
                <w:rFonts w:ascii="Times New Roman" w:hAnsi="Times New Roman"/>
                <w:b/>
              </w:rPr>
            </w:pPr>
            <w:r>
              <w:rPr>
                <w:rFonts w:ascii="Times New Roman" w:hAnsi="Times New Roman"/>
                <w:b/>
              </w:rPr>
              <w:t>Nacionaline valiuta … (sveikaisiais skaičiais)</w:t>
            </w:r>
          </w:p>
          <w:p w14:paraId="61EC3E72" w14:textId="77777777" w:rsidR="006802F3" w:rsidRPr="00317E7D" w:rsidRDefault="000674F4" w:rsidP="00C6449A">
            <w:pPr>
              <w:spacing w:after="0"/>
              <w:rPr>
                <w:rFonts w:ascii="Times New Roman" w:hAnsi="Times New Roman"/>
              </w:rPr>
            </w:pPr>
            <w:r>
              <w:rPr>
                <w:rFonts w:ascii="Times New Roman" w:hAnsi="Times New Roman"/>
              </w:rPr>
              <w:t>………………………………………</w:t>
            </w:r>
          </w:p>
        </w:tc>
      </w:tr>
      <w:tr w:rsidR="006802F3" w:rsidRPr="006802F3" w14:paraId="6AB05969" w14:textId="77777777" w:rsidTr="00317E7D">
        <w:trPr>
          <w:trHeight w:val="337"/>
        </w:trPr>
        <w:tc>
          <w:tcPr>
            <w:tcW w:w="2126" w:type="dxa"/>
            <w:vMerge/>
          </w:tcPr>
          <w:p w14:paraId="7684BB55" w14:textId="77777777" w:rsidR="006802F3" w:rsidRPr="006802F3" w:rsidRDefault="006802F3" w:rsidP="00C6449A">
            <w:pPr>
              <w:spacing w:after="0"/>
              <w:rPr>
                <w:rFonts w:ascii="Times New Roman" w:hAnsi="Times New Roman"/>
                <w:b/>
              </w:rPr>
            </w:pPr>
          </w:p>
        </w:tc>
        <w:tc>
          <w:tcPr>
            <w:tcW w:w="2944" w:type="dxa"/>
            <w:gridSpan w:val="2"/>
          </w:tcPr>
          <w:p w14:paraId="5D139C32" w14:textId="77777777" w:rsidR="006802F3" w:rsidRPr="006802F3" w:rsidRDefault="006802F3" w:rsidP="00C6449A">
            <w:pPr>
              <w:spacing w:after="0"/>
              <w:rPr>
                <w:rFonts w:ascii="Times New Roman" w:hAnsi="Times New Roman"/>
                <w:b/>
              </w:rPr>
            </w:pPr>
            <w:r>
              <w:rPr>
                <w:rFonts w:ascii="Times New Roman" w:hAnsi="Times New Roman"/>
                <w:b/>
              </w:rPr>
              <w:t xml:space="preserve">Įmonei skirtos </w:t>
            </w:r>
            <w:r>
              <w:rPr>
                <w:rFonts w:ascii="Times New Roman" w:hAnsi="Times New Roman"/>
                <w:b/>
                <w:i/>
              </w:rPr>
              <w:t>ad hoc</w:t>
            </w:r>
            <w:r>
              <w:rPr>
                <w:rFonts w:ascii="Times New Roman" w:hAnsi="Times New Roman"/>
                <w:b/>
              </w:rPr>
              <w:t xml:space="preserve"> pagalbos bendra suma</w:t>
            </w:r>
            <w:r>
              <w:rPr>
                <w:rStyle w:val="FootnoteReference"/>
                <w:rFonts w:ascii="Times New Roman" w:hAnsi="Times New Roman"/>
                <w:b/>
              </w:rPr>
              <w:footnoteReference w:id="8"/>
            </w:r>
          </w:p>
        </w:tc>
        <w:tc>
          <w:tcPr>
            <w:tcW w:w="3723" w:type="dxa"/>
            <w:gridSpan w:val="2"/>
          </w:tcPr>
          <w:p w14:paraId="545C0ECB" w14:textId="77777777" w:rsidR="006802F3" w:rsidRPr="006802F3" w:rsidRDefault="006802F3" w:rsidP="00C6449A">
            <w:pPr>
              <w:spacing w:after="0"/>
              <w:rPr>
                <w:rFonts w:ascii="Times New Roman" w:hAnsi="Times New Roman"/>
                <w:b/>
              </w:rPr>
            </w:pPr>
            <w:r>
              <w:rPr>
                <w:rFonts w:ascii="Times New Roman" w:hAnsi="Times New Roman"/>
                <w:b/>
              </w:rPr>
              <w:t>Nacionaline valiuta … (sveikaisiais skaičiais)</w:t>
            </w:r>
            <w:r>
              <w:rPr>
                <w:rFonts w:ascii="Times New Roman" w:hAnsi="Times New Roman"/>
                <w:b/>
              </w:rPr>
              <w:br/>
            </w:r>
            <w:r>
              <w:rPr>
                <w:rFonts w:ascii="Times New Roman" w:hAnsi="Times New Roman"/>
              </w:rPr>
              <w:t>……………………………………….</w:t>
            </w:r>
          </w:p>
        </w:tc>
      </w:tr>
      <w:tr w:rsidR="006802F3" w:rsidRPr="006802F3" w14:paraId="3CB00875" w14:textId="77777777" w:rsidTr="00317E7D">
        <w:trPr>
          <w:trHeight w:val="337"/>
        </w:trPr>
        <w:tc>
          <w:tcPr>
            <w:tcW w:w="2126" w:type="dxa"/>
            <w:vMerge/>
          </w:tcPr>
          <w:p w14:paraId="0A62FEEB" w14:textId="77777777" w:rsidR="006802F3" w:rsidRPr="006802F3" w:rsidRDefault="006802F3" w:rsidP="00C6449A">
            <w:pPr>
              <w:spacing w:after="0"/>
              <w:rPr>
                <w:rFonts w:ascii="Times New Roman" w:hAnsi="Times New Roman"/>
                <w:b/>
              </w:rPr>
            </w:pPr>
          </w:p>
        </w:tc>
        <w:tc>
          <w:tcPr>
            <w:tcW w:w="2944" w:type="dxa"/>
            <w:gridSpan w:val="2"/>
          </w:tcPr>
          <w:p w14:paraId="12DA34D2" w14:textId="77777777" w:rsidR="006802F3" w:rsidRPr="006802F3" w:rsidRDefault="000674F4" w:rsidP="00C6449A">
            <w:pPr>
              <w:spacing w:after="0"/>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rPr>
              <w:t>Garantijoms</w:t>
            </w:r>
            <w:r>
              <w:rPr>
                <w:rStyle w:val="FootnoteReference"/>
                <w:rFonts w:ascii="Times New Roman" w:hAnsi="Times New Roman"/>
                <w:b/>
              </w:rPr>
              <w:footnoteReference w:id="9"/>
            </w:r>
          </w:p>
        </w:tc>
        <w:tc>
          <w:tcPr>
            <w:tcW w:w="3723" w:type="dxa"/>
            <w:gridSpan w:val="2"/>
          </w:tcPr>
          <w:p w14:paraId="58291FA6" w14:textId="77777777" w:rsidR="006802F3" w:rsidRPr="00317E7D" w:rsidRDefault="006802F3" w:rsidP="00C6449A">
            <w:pPr>
              <w:spacing w:after="0"/>
              <w:rPr>
                <w:rFonts w:ascii="Times New Roman" w:hAnsi="Times New Roman"/>
              </w:rPr>
            </w:pPr>
            <w:r>
              <w:rPr>
                <w:rFonts w:ascii="Times New Roman" w:hAnsi="Times New Roman"/>
                <w:b/>
              </w:rPr>
              <w:t>Nacionaline valiuta … (sveikaisiais skaičiais)</w:t>
            </w:r>
            <w:r>
              <w:rPr>
                <w:rFonts w:ascii="Times New Roman" w:hAnsi="Times New Roman"/>
                <w:b/>
              </w:rPr>
              <w:br/>
            </w:r>
            <w:r>
              <w:rPr>
                <w:rFonts w:ascii="Times New Roman" w:hAnsi="Times New Roman"/>
              </w:rPr>
              <w:t>………………………………………</w:t>
            </w:r>
          </w:p>
        </w:tc>
      </w:tr>
      <w:tr w:rsidR="000674F4" w:rsidRPr="006802F3" w14:paraId="56E463F0" w14:textId="77777777" w:rsidTr="009473C4">
        <w:trPr>
          <w:trHeight w:val="208"/>
        </w:trPr>
        <w:tc>
          <w:tcPr>
            <w:tcW w:w="2126" w:type="dxa"/>
            <w:vMerge w:val="restart"/>
          </w:tcPr>
          <w:p w14:paraId="48415296" w14:textId="77777777" w:rsidR="000674F4" w:rsidRPr="006802F3" w:rsidRDefault="000674F4" w:rsidP="00982BC3">
            <w:pPr>
              <w:spacing w:after="0"/>
              <w:rPr>
                <w:rFonts w:ascii="Times New Roman" w:hAnsi="Times New Roman"/>
                <w:b/>
              </w:rPr>
            </w:pPr>
            <w:r>
              <w:rPr>
                <w:rFonts w:ascii="Times New Roman" w:hAnsi="Times New Roman"/>
                <w:b/>
              </w:rPr>
              <w:t>Pagalbos priemonė</w:t>
            </w:r>
          </w:p>
        </w:tc>
        <w:tc>
          <w:tcPr>
            <w:tcW w:w="6667" w:type="dxa"/>
            <w:gridSpan w:val="4"/>
          </w:tcPr>
          <w:p w14:paraId="0D0A156B" w14:textId="77777777" w:rsidR="000674F4" w:rsidRPr="006802F3" w:rsidRDefault="000674F4" w:rsidP="00A2056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A2056D">
              <w:rPr>
                <w:rFonts w:ascii="Times New Roman" w:hAnsi="Times New Roman"/>
                <w:b/>
              </w:rPr>
              <w:t>d</w:t>
            </w:r>
            <w:r>
              <w:rPr>
                <w:rFonts w:ascii="Times New Roman" w:hAnsi="Times New Roman"/>
                <w:b/>
              </w:rPr>
              <w:t>otacija / palūkanų normų subsidija</w:t>
            </w:r>
          </w:p>
        </w:tc>
      </w:tr>
      <w:tr w:rsidR="000674F4" w:rsidRPr="006802F3" w14:paraId="3027282F" w14:textId="77777777" w:rsidTr="009473C4">
        <w:trPr>
          <w:trHeight w:val="208"/>
        </w:trPr>
        <w:tc>
          <w:tcPr>
            <w:tcW w:w="2126" w:type="dxa"/>
            <w:vMerge/>
          </w:tcPr>
          <w:p w14:paraId="12DAE5A0" w14:textId="77777777" w:rsidR="000674F4" w:rsidRPr="006802F3" w:rsidRDefault="000674F4" w:rsidP="00C6449A">
            <w:pPr>
              <w:spacing w:after="0"/>
              <w:rPr>
                <w:rFonts w:ascii="Times New Roman" w:hAnsi="Times New Roman"/>
                <w:b/>
              </w:rPr>
            </w:pPr>
          </w:p>
        </w:tc>
        <w:tc>
          <w:tcPr>
            <w:tcW w:w="6667" w:type="dxa"/>
            <w:gridSpan w:val="4"/>
          </w:tcPr>
          <w:p w14:paraId="72A7F321" w14:textId="77777777" w:rsidR="000674F4" w:rsidRPr="006802F3" w:rsidRDefault="000674F4" w:rsidP="00A2056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A2056D">
              <w:rPr>
                <w:rFonts w:ascii="Times New Roman" w:hAnsi="Times New Roman"/>
                <w:b/>
              </w:rPr>
              <w:t>p</w:t>
            </w:r>
            <w:r>
              <w:rPr>
                <w:rFonts w:ascii="Times New Roman" w:hAnsi="Times New Roman"/>
                <w:b/>
              </w:rPr>
              <w:t>askola / grąžintini avansai</w:t>
            </w:r>
          </w:p>
        </w:tc>
      </w:tr>
      <w:tr w:rsidR="000674F4" w:rsidRPr="006802F3" w14:paraId="6E578387" w14:textId="77777777" w:rsidTr="009473C4">
        <w:trPr>
          <w:trHeight w:val="208"/>
        </w:trPr>
        <w:tc>
          <w:tcPr>
            <w:tcW w:w="2126" w:type="dxa"/>
            <w:vMerge/>
          </w:tcPr>
          <w:p w14:paraId="693D5BD4" w14:textId="77777777" w:rsidR="000674F4" w:rsidRPr="006802F3" w:rsidRDefault="000674F4" w:rsidP="00C6449A">
            <w:pPr>
              <w:spacing w:after="0"/>
              <w:rPr>
                <w:rFonts w:ascii="Times New Roman" w:hAnsi="Times New Roman"/>
                <w:b/>
              </w:rPr>
            </w:pPr>
          </w:p>
        </w:tc>
        <w:tc>
          <w:tcPr>
            <w:tcW w:w="6667" w:type="dxa"/>
            <w:gridSpan w:val="4"/>
          </w:tcPr>
          <w:p w14:paraId="71F8BC2A" w14:textId="77777777" w:rsidR="000674F4" w:rsidRPr="006802F3" w:rsidRDefault="000674F4" w:rsidP="00A2056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A2056D">
              <w:rPr>
                <w:rFonts w:ascii="Times New Roman" w:hAnsi="Times New Roman"/>
                <w:b/>
              </w:rPr>
              <w:t>g</w:t>
            </w:r>
            <w:r>
              <w:rPr>
                <w:rFonts w:ascii="Times New Roman" w:hAnsi="Times New Roman"/>
                <w:b/>
              </w:rPr>
              <w:t>arantija (kai tinkama, nurodyti Komisijos sprendimą</w:t>
            </w:r>
            <w:r>
              <w:rPr>
                <w:rStyle w:val="FootnoteReference"/>
                <w:rFonts w:ascii="Times New Roman" w:hAnsi="Times New Roman"/>
                <w:b/>
              </w:rPr>
              <w:footnoteReference w:id="10"/>
            </w:r>
            <w:r>
              <w:rPr>
                <w:rFonts w:ascii="Times New Roman" w:hAnsi="Times New Roman"/>
                <w:b/>
              </w:rPr>
              <w:t xml:space="preserve">) </w:t>
            </w:r>
          </w:p>
        </w:tc>
      </w:tr>
      <w:tr w:rsidR="000674F4" w:rsidRPr="006802F3" w14:paraId="4B7754BB" w14:textId="77777777" w:rsidTr="009473C4">
        <w:trPr>
          <w:trHeight w:val="208"/>
        </w:trPr>
        <w:tc>
          <w:tcPr>
            <w:tcW w:w="2126" w:type="dxa"/>
            <w:vMerge/>
          </w:tcPr>
          <w:p w14:paraId="2E5DBE04" w14:textId="77777777" w:rsidR="000674F4" w:rsidRPr="006802F3" w:rsidRDefault="000674F4" w:rsidP="00C6449A">
            <w:pPr>
              <w:spacing w:after="0"/>
              <w:rPr>
                <w:rFonts w:ascii="Times New Roman" w:hAnsi="Times New Roman"/>
                <w:b/>
              </w:rPr>
            </w:pPr>
          </w:p>
        </w:tc>
        <w:tc>
          <w:tcPr>
            <w:tcW w:w="6667" w:type="dxa"/>
            <w:gridSpan w:val="4"/>
          </w:tcPr>
          <w:p w14:paraId="5D4F6F8D" w14:textId="77777777" w:rsidR="000674F4" w:rsidRPr="006802F3" w:rsidRDefault="000674F4" w:rsidP="00A2056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A2056D">
              <w:rPr>
                <w:rFonts w:ascii="Times New Roman" w:hAnsi="Times New Roman"/>
                <w:b/>
              </w:rPr>
              <w:t>m</w:t>
            </w:r>
            <w:r>
              <w:rPr>
                <w:rFonts w:ascii="Times New Roman" w:hAnsi="Times New Roman"/>
                <w:b/>
              </w:rPr>
              <w:t xml:space="preserve">okesčių lengvata arba atleidimas nuo mokesčių </w:t>
            </w:r>
          </w:p>
        </w:tc>
      </w:tr>
      <w:tr w:rsidR="000674F4" w:rsidRPr="006802F3" w14:paraId="413623F6" w14:textId="77777777" w:rsidTr="009473C4">
        <w:trPr>
          <w:trHeight w:val="208"/>
        </w:trPr>
        <w:tc>
          <w:tcPr>
            <w:tcW w:w="2126" w:type="dxa"/>
            <w:vMerge/>
          </w:tcPr>
          <w:p w14:paraId="3BFA61FA" w14:textId="77777777" w:rsidR="000674F4" w:rsidRPr="006802F3" w:rsidRDefault="000674F4" w:rsidP="00C6449A">
            <w:pPr>
              <w:spacing w:after="0"/>
              <w:rPr>
                <w:rFonts w:ascii="Times New Roman" w:hAnsi="Times New Roman"/>
                <w:b/>
              </w:rPr>
            </w:pPr>
          </w:p>
        </w:tc>
        <w:tc>
          <w:tcPr>
            <w:tcW w:w="6667" w:type="dxa"/>
            <w:gridSpan w:val="4"/>
          </w:tcPr>
          <w:p w14:paraId="0F8D77B5" w14:textId="77777777" w:rsidR="000674F4" w:rsidRPr="006802F3" w:rsidRDefault="000674F4" w:rsidP="00A2056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A2056D">
              <w:rPr>
                <w:rFonts w:ascii="Times New Roman" w:hAnsi="Times New Roman"/>
                <w:b/>
              </w:rPr>
              <w:t>r</w:t>
            </w:r>
            <w:r>
              <w:rPr>
                <w:rFonts w:ascii="Times New Roman" w:hAnsi="Times New Roman"/>
                <w:b/>
              </w:rPr>
              <w:t xml:space="preserve">izikos finansų suteikimas </w:t>
            </w:r>
          </w:p>
        </w:tc>
      </w:tr>
      <w:tr w:rsidR="000674F4" w:rsidRPr="006802F3" w14:paraId="7386D5AF" w14:textId="77777777" w:rsidTr="009473C4">
        <w:trPr>
          <w:trHeight w:val="460"/>
        </w:trPr>
        <w:tc>
          <w:tcPr>
            <w:tcW w:w="2126" w:type="dxa"/>
            <w:vMerge/>
          </w:tcPr>
          <w:p w14:paraId="550E599A" w14:textId="77777777" w:rsidR="000674F4" w:rsidRPr="006802F3" w:rsidRDefault="000674F4" w:rsidP="00C6449A">
            <w:pPr>
              <w:spacing w:after="0"/>
              <w:rPr>
                <w:rFonts w:ascii="Times New Roman" w:hAnsi="Times New Roman"/>
                <w:b/>
                <w:snapToGrid w:val="0"/>
              </w:rPr>
            </w:pPr>
          </w:p>
        </w:tc>
        <w:tc>
          <w:tcPr>
            <w:tcW w:w="6667" w:type="dxa"/>
            <w:gridSpan w:val="4"/>
          </w:tcPr>
          <w:p w14:paraId="22903C7E" w14:textId="77777777" w:rsidR="000674F4" w:rsidRDefault="000674F4" w:rsidP="00317E7D">
            <w:pPr>
              <w:spacing w:after="0"/>
              <w:ind w:left="426" w:hanging="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A2056D" w:rsidRPr="00A2056D">
              <w:rPr>
                <w:b/>
              </w:rPr>
              <w:t>k</w:t>
            </w:r>
            <w:r w:rsidRPr="00A2056D">
              <w:rPr>
                <w:rFonts w:ascii="Times New Roman" w:hAnsi="Times New Roman"/>
                <w:b/>
              </w:rPr>
              <w:t>i</w:t>
            </w:r>
            <w:r>
              <w:rPr>
                <w:rFonts w:ascii="Times New Roman" w:hAnsi="Times New Roman"/>
                <w:b/>
              </w:rPr>
              <w:t>ta (nurodyti)</w:t>
            </w:r>
            <w:r>
              <w:rPr>
                <w:rFonts w:ascii="Times New Roman" w:hAnsi="Times New Roman"/>
                <w:b/>
              </w:rPr>
              <w:br/>
            </w:r>
            <w:r>
              <w:rPr>
                <w:rFonts w:ascii="Times New Roman" w:hAnsi="Times New Roman"/>
              </w:rPr>
              <w:t>………………………………………………..</w:t>
            </w:r>
            <w:r>
              <w:rPr>
                <w:rFonts w:ascii="Times New Roman" w:hAnsi="Times New Roman"/>
                <w:b/>
              </w:rPr>
              <w:t xml:space="preserve"> </w:t>
            </w:r>
          </w:p>
          <w:p w14:paraId="126D758F" w14:textId="77777777" w:rsidR="00982BC3" w:rsidRDefault="00982BC3" w:rsidP="00982BC3">
            <w:pPr>
              <w:spacing w:after="0"/>
              <w:ind w:left="426"/>
              <w:rPr>
                <w:rFonts w:ascii="Times New Roman" w:hAnsi="Times New Roman"/>
                <w:b/>
              </w:rPr>
            </w:pPr>
            <w:r>
              <w:rPr>
                <w:rFonts w:ascii="Times New Roman" w:hAnsi="Times New Roman"/>
                <w:b/>
              </w:rPr>
              <w:t xml:space="preserve">Nurodyti, kuriai iš šių platesnių kategorijų galima priskirti </w:t>
            </w:r>
            <w:r w:rsidR="00BE74A4">
              <w:rPr>
                <w:rFonts w:ascii="Times New Roman" w:hAnsi="Times New Roman"/>
                <w:b/>
              </w:rPr>
              <w:t xml:space="preserve">pagalbos priemonę </w:t>
            </w:r>
            <w:r>
              <w:rPr>
                <w:rFonts w:ascii="Times New Roman" w:hAnsi="Times New Roman"/>
                <w:b/>
              </w:rPr>
              <w:t>pagal jos poveikį / funkciją:</w:t>
            </w:r>
          </w:p>
          <w:p w14:paraId="0C43A2E1"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BE74A4">
              <w:rPr>
                <w:rFonts w:ascii="Times New Roman" w:hAnsi="Times New Roman"/>
                <w:b/>
              </w:rPr>
              <w:t>d</w:t>
            </w:r>
            <w:r>
              <w:rPr>
                <w:rFonts w:ascii="Times New Roman" w:hAnsi="Times New Roman"/>
                <w:b/>
              </w:rPr>
              <w:t>otacija</w:t>
            </w:r>
          </w:p>
          <w:p w14:paraId="19CC407F" w14:textId="79B25A73" w:rsidR="00982BC3" w:rsidRDefault="00BD22AC" w:rsidP="00982BC3">
            <w:pPr>
              <w:spacing w:after="0"/>
              <w:ind w:left="426"/>
              <w:rPr>
                <w:rFonts w:ascii="Times New Roman" w:hAnsi="Times New Roman"/>
                <w:b/>
              </w:rPr>
            </w:pPr>
            <w:r>
              <w:fldChar w:fldCharType="begin">
                <w:ffData>
                  <w:name w:val=""/>
                  <w:enabled/>
                  <w:calcOnExit w:val="0"/>
                  <w:checkBox>
                    <w:sizeAuto/>
                    <w:default w:val="0"/>
                  </w:checkBox>
                </w:ffData>
              </w:fldChar>
            </w:r>
            <w:r>
              <w:instrText xml:space="preserve"> FORMCHECKBOX </w:instrText>
            </w:r>
            <w:r>
              <w:fldChar w:fldCharType="end"/>
            </w:r>
            <w:r w:rsidR="00982BC3">
              <w:t xml:space="preserve"> </w:t>
            </w:r>
            <w:r w:rsidR="00BE74A4">
              <w:rPr>
                <w:rFonts w:ascii="Times New Roman" w:hAnsi="Times New Roman"/>
                <w:b/>
              </w:rPr>
              <w:t>p</w:t>
            </w:r>
            <w:r w:rsidR="00982BC3">
              <w:rPr>
                <w:rFonts w:ascii="Times New Roman" w:hAnsi="Times New Roman"/>
                <w:b/>
              </w:rPr>
              <w:t>askola</w:t>
            </w:r>
          </w:p>
          <w:p w14:paraId="4BD308CD"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BE74A4">
              <w:rPr>
                <w:rFonts w:ascii="Times New Roman" w:hAnsi="Times New Roman"/>
                <w:b/>
              </w:rPr>
              <w:t>g</w:t>
            </w:r>
            <w:r>
              <w:rPr>
                <w:rFonts w:ascii="Times New Roman" w:hAnsi="Times New Roman"/>
                <w:b/>
              </w:rPr>
              <w:t>arantija</w:t>
            </w:r>
          </w:p>
          <w:p w14:paraId="7A0570F1" w14:textId="77777777" w:rsidR="00982BC3" w:rsidRDefault="00982BC3" w:rsidP="00982BC3">
            <w:pPr>
              <w:spacing w:after="0"/>
              <w:ind w:left="426"/>
              <w:rPr>
                <w:rFonts w:ascii="Times New Roman" w:hAnsi="Times New Roman"/>
                <w:b/>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BE74A4">
              <w:rPr>
                <w:rFonts w:ascii="Times New Roman" w:hAnsi="Times New Roman"/>
                <w:b/>
              </w:rPr>
              <w:t>m</w:t>
            </w:r>
            <w:r>
              <w:rPr>
                <w:rFonts w:ascii="Times New Roman" w:hAnsi="Times New Roman"/>
                <w:b/>
              </w:rPr>
              <w:t>okesčių lengvata</w:t>
            </w:r>
          </w:p>
          <w:p w14:paraId="3DCAD0E7" w14:textId="77777777" w:rsidR="00982BC3" w:rsidRDefault="00982BC3" w:rsidP="00982BC3">
            <w:pPr>
              <w:spacing w:after="0"/>
              <w:ind w:left="426" w:hanging="426"/>
              <w:rPr>
                <w:rFonts w:ascii="Times New Roman" w:hAnsi="Times New Roman"/>
                <w:b/>
              </w:rPr>
            </w:pPr>
            <w:r>
              <w:t xml:space="preserve">        </w:t>
            </w: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sidR="00BE74A4">
              <w:rPr>
                <w:rFonts w:ascii="Times New Roman" w:hAnsi="Times New Roman"/>
                <w:b/>
              </w:rPr>
              <w:t>r</w:t>
            </w:r>
            <w:r>
              <w:rPr>
                <w:rFonts w:ascii="Times New Roman" w:hAnsi="Times New Roman"/>
                <w:b/>
              </w:rPr>
              <w:t>izikos finansų suteikimas</w:t>
            </w:r>
          </w:p>
          <w:p w14:paraId="28BCF16E" w14:textId="77777777" w:rsidR="00982BC3" w:rsidRPr="006802F3" w:rsidRDefault="00982BC3" w:rsidP="00982BC3">
            <w:pPr>
              <w:spacing w:after="0"/>
              <w:ind w:left="426" w:hanging="426"/>
              <w:rPr>
                <w:rFonts w:ascii="Times New Roman" w:hAnsi="Times New Roman"/>
                <w:b/>
              </w:rPr>
            </w:pPr>
          </w:p>
        </w:tc>
      </w:tr>
      <w:tr w:rsidR="006802F3" w:rsidRPr="006802F3" w14:paraId="65B69185" w14:textId="77777777" w:rsidTr="00317E7D">
        <w:trPr>
          <w:trHeight w:val="460"/>
        </w:trPr>
        <w:tc>
          <w:tcPr>
            <w:tcW w:w="2126" w:type="dxa"/>
          </w:tcPr>
          <w:p w14:paraId="16C09AC8" w14:textId="77777777" w:rsidR="006802F3" w:rsidRPr="006802F3" w:rsidRDefault="000674F4" w:rsidP="00317E7D">
            <w:pPr>
              <w:spacing w:after="0"/>
              <w:ind w:left="426" w:hanging="426"/>
              <w:rPr>
                <w:rFonts w:ascii="Times New Roman" w:hAnsi="Times New Roman"/>
                <w:b/>
                <w:bCs/>
                <w:snapToGrid w:val="0"/>
              </w:rPr>
            </w:pPr>
            <w:r w:rsidRPr="009B136D">
              <w:fldChar w:fldCharType="begin" w:fldLock="1">
                <w:ffData>
                  <w:name w:val="Check1"/>
                  <w:enabled/>
                  <w:calcOnExit w:val="0"/>
                  <w:checkBox>
                    <w:sizeAuto/>
                    <w:default w:val="0"/>
                  </w:checkBox>
                </w:ffData>
              </w:fldChar>
            </w:r>
            <w:r w:rsidRPr="009B136D">
              <w:instrText xml:space="preserve"> FORMCHECKBOX </w:instrText>
            </w:r>
            <w:r w:rsidR="00BD22AC">
              <w:fldChar w:fldCharType="separate"/>
            </w:r>
            <w:r w:rsidRPr="009B136D">
              <w:fldChar w:fldCharType="end"/>
            </w:r>
            <w:r>
              <w:t xml:space="preserve">    </w:t>
            </w:r>
            <w:r>
              <w:rPr>
                <w:rFonts w:ascii="Times New Roman" w:hAnsi="Times New Roman"/>
                <w:b/>
                <w:snapToGrid w:val="0"/>
              </w:rPr>
              <w:t xml:space="preserve">Jeigu bendrai finansuojama iš ES fondo (-ų) </w:t>
            </w:r>
          </w:p>
        </w:tc>
        <w:tc>
          <w:tcPr>
            <w:tcW w:w="2944" w:type="dxa"/>
            <w:gridSpan w:val="2"/>
          </w:tcPr>
          <w:p w14:paraId="75FE9609" w14:textId="77777777" w:rsidR="00746590" w:rsidRDefault="006802F3" w:rsidP="006101FC">
            <w:pPr>
              <w:spacing w:after="0"/>
              <w:rPr>
                <w:rFonts w:ascii="Times New Roman" w:hAnsi="Times New Roman"/>
                <w:b/>
                <w:snapToGrid w:val="0"/>
              </w:rPr>
            </w:pPr>
            <w:r>
              <w:rPr>
                <w:rFonts w:ascii="Times New Roman" w:hAnsi="Times New Roman"/>
                <w:b/>
                <w:snapToGrid w:val="0"/>
              </w:rPr>
              <w:t xml:space="preserve">ES fondo (-ų) pavadinimas (-ai): </w:t>
            </w:r>
          </w:p>
          <w:p w14:paraId="42CEDDFE" w14:textId="77777777" w:rsidR="00746590" w:rsidRDefault="00746590" w:rsidP="00996BFF">
            <w:pPr>
              <w:spacing w:after="0"/>
              <w:rPr>
                <w:rFonts w:ascii="Times New Roman" w:hAnsi="Times New Roman"/>
                <w:b/>
                <w:snapToGrid w:val="0"/>
              </w:rPr>
            </w:pPr>
          </w:p>
          <w:p w14:paraId="15272388" w14:textId="77777777" w:rsidR="00746590" w:rsidRDefault="00746590" w:rsidP="00996BFF">
            <w:pPr>
              <w:spacing w:after="0"/>
              <w:rPr>
                <w:rFonts w:ascii="Times New Roman" w:hAnsi="Times New Roman"/>
                <w:b/>
                <w:snapToGrid w:val="0"/>
              </w:rPr>
            </w:pPr>
          </w:p>
          <w:p w14:paraId="198ACC1C" w14:textId="77777777" w:rsidR="006802F3" w:rsidRPr="006101FC" w:rsidRDefault="000674F4" w:rsidP="00FF34C5">
            <w:pPr>
              <w:spacing w:after="0"/>
              <w:rPr>
                <w:rFonts w:ascii="Times New Roman" w:hAnsi="Times New Roman"/>
              </w:rPr>
            </w:pPr>
            <w:r>
              <w:rPr>
                <w:rFonts w:ascii="Times New Roman" w:hAnsi="Times New Roman"/>
                <w:snapToGrid w:val="0"/>
              </w:rPr>
              <w:t>…………………………..</w:t>
            </w:r>
            <w:r>
              <w:rPr>
                <w:rFonts w:ascii="Times New Roman" w:hAnsi="Times New Roman"/>
                <w:snapToGrid w:val="0"/>
              </w:rPr>
              <w:br/>
              <w:t>…………………………..</w:t>
            </w:r>
          </w:p>
        </w:tc>
        <w:tc>
          <w:tcPr>
            <w:tcW w:w="1881" w:type="dxa"/>
          </w:tcPr>
          <w:p w14:paraId="7CC50E62" w14:textId="77777777" w:rsidR="006802F3" w:rsidRDefault="006802F3" w:rsidP="00C6449A">
            <w:pPr>
              <w:spacing w:after="0"/>
              <w:rPr>
                <w:rFonts w:ascii="Times New Roman" w:hAnsi="Times New Roman"/>
              </w:rPr>
            </w:pPr>
            <w:r>
              <w:rPr>
                <w:rFonts w:ascii="Times New Roman" w:hAnsi="Times New Roman"/>
                <w:b/>
              </w:rPr>
              <w:t>Finansavimo suma</w:t>
            </w:r>
            <w:r>
              <w:rPr>
                <w:rFonts w:ascii="Times New Roman" w:hAnsi="Times New Roman"/>
                <w:b/>
              </w:rPr>
              <w:br/>
              <w:t>(pagal ES fondą)</w:t>
            </w:r>
            <w:r>
              <w:rPr>
                <w:rFonts w:ascii="Times New Roman" w:hAnsi="Times New Roman"/>
                <w:b/>
              </w:rPr>
              <w:br/>
            </w:r>
            <w:r>
              <w:rPr>
                <w:rFonts w:ascii="Times New Roman" w:hAnsi="Times New Roman"/>
              </w:rPr>
              <w:t>…………………</w:t>
            </w:r>
          </w:p>
          <w:p w14:paraId="2EC5B8FE" w14:textId="77777777" w:rsidR="000674F4" w:rsidRPr="00317E7D" w:rsidRDefault="000674F4" w:rsidP="00C6449A">
            <w:pPr>
              <w:spacing w:after="0"/>
              <w:rPr>
                <w:rFonts w:ascii="Times New Roman" w:hAnsi="Times New Roman"/>
                <w:bCs/>
              </w:rPr>
            </w:pPr>
            <w:r>
              <w:rPr>
                <w:rFonts w:ascii="Times New Roman" w:hAnsi="Times New Roman"/>
              </w:rPr>
              <w:t>…………………</w:t>
            </w:r>
          </w:p>
        </w:tc>
        <w:tc>
          <w:tcPr>
            <w:tcW w:w="1842" w:type="dxa"/>
          </w:tcPr>
          <w:p w14:paraId="7256B79F" w14:textId="77777777" w:rsidR="000674F4" w:rsidRDefault="006802F3" w:rsidP="00C6449A">
            <w:pPr>
              <w:spacing w:after="0"/>
              <w:rPr>
                <w:rFonts w:ascii="Times New Roman" w:hAnsi="Times New Roman"/>
                <w:b/>
              </w:rPr>
            </w:pPr>
            <w:r>
              <w:rPr>
                <w:rFonts w:ascii="Times New Roman" w:hAnsi="Times New Roman"/>
                <w:b/>
              </w:rPr>
              <w:t>Nacionaline valiuta … (sveikaisiais skaičiais)</w:t>
            </w:r>
          </w:p>
          <w:p w14:paraId="03CF3651" w14:textId="77777777" w:rsidR="000674F4" w:rsidRDefault="000674F4" w:rsidP="00C6449A">
            <w:pPr>
              <w:spacing w:after="0"/>
              <w:rPr>
                <w:rFonts w:ascii="Times New Roman" w:hAnsi="Times New Roman"/>
              </w:rPr>
            </w:pPr>
            <w:r>
              <w:rPr>
                <w:rFonts w:ascii="Times New Roman" w:hAnsi="Times New Roman"/>
              </w:rPr>
              <w:t>…………………</w:t>
            </w:r>
          </w:p>
          <w:p w14:paraId="3F63761A" w14:textId="77777777" w:rsidR="006802F3" w:rsidRPr="006802F3" w:rsidRDefault="00746590" w:rsidP="006101FC">
            <w:pPr>
              <w:spacing w:after="0"/>
              <w:rPr>
                <w:rFonts w:ascii="Times New Roman" w:hAnsi="Times New Roman"/>
                <w:b/>
                <w:bCs/>
              </w:rPr>
            </w:pPr>
            <w:r>
              <w:rPr>
                <w:rFonts w:ascii="Times New Roman" w:hAnsi="Times New Roman"/>
              </w:rPr>
              <w:t>…………………</w:t>
            </w:r>
          </w:p>
        </w:tc>
      </w:tr>
    </w:tbl>
    <w:p w14:paraId="27F97F7F" w14:textId="77777777" w:rsidR="006802F3" w:rsidRPr="006802F3" w:rsidRDefault="006802F3" w:rsidP="006802F3">
      <w:pPr>
        <w:spacing w:after="0"/>
        <w:jc w:val="center"/>
        <w:rPr>
          <w:rFonts w:ascii="Times New Roman" w:hAnsi="Times New Roman"/>
          <w:b/>
          <w:bCs/>
          <w:smallCaps/>
        </w:rPr>
        <w:sectPr w:rsidR="006802F3" w:rsidRPr="006802F3" w:rsidSect="00C6449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docGrid w:linePitch="360"/>
        </w:sectPr>
      </w:pPr>
    </w:p>
    <w:p w14:paraId="299CFF5C" w14:textId="77777777" w:rsidR="006802F3" w:rsidRPr="006802F3" w:rsidRDefault="006802F3" w:rsidP="006802F3">
      <w:pPr>
        <w:spacing w:after="480"/>
        <w:jc w:val="center"/>
        <w:rPr>
          <w:rFonts w:ascii="Times New Roman" w:hAnsi="Times New Roman"/>
          <w:b/>
          <w:bCs/>
          <w:smallCaps/>
        </w:rPr>
      </w:pPr>
      <w:r>
        <w:rPr>
          <w:rFonts w:ascii="Times New Roman" w:hAnsi="Times New Roman"/>
          <w:b/>
          <w:smallCaps/>
        </w:rPr>
        <w:lastRenderedPageBreak/>
        <w:t>II dalis</w:t>
      </w:r>
    </w:p>
    <w:p w14:paraId="06FD2632" w14:textId="77777777" w:rsidR="006802F3" w:rsidRPr="006802F3" w:rsidRDefault="006802F3" w:rsidP="006802F3">
      <w:pPr>
        <w:spacing w:after="480"/>
        <w:jc w:val="center"/>
        <w:rPr>
          <w:rFonts w:ascii="Times New Roman" w:hAnsi="Times New Roman"/>
          <w:b/>
          <w:bCs/>
          <w:smallCaps/>
        </w:rPr>
      </w:pPr>
      <w:r>
        <w:rPr>
          <w:rFonts w:ascii="Times New Roman" w:hAnsi="Times New Roman"/>
          <w:b/>
        </w:rPr>
        <w:t>teiktina naudojant nustatytą Komisijos IT programą, kaip nurodyta 11 straipsnyje</w:t>
      </w:r>
    </w:p>
    <w:p w14:paraId="4C31093A" w14:textId="6F8B8874" w:rsidR="00BD22AC" w:rsidRDefault="006802F3" w:rsidP="00A962FC">
      <w:pPr>
        <w:spacing w:after="0"/>
        <w:rPr>
          <w:rFonts w:ascii="Times New Roman" w:hAnsi="Times New Roman"/>
          <w:b/>
        </w:rPr>
      </w:pPr>
      <w:r>
        <w:rPr>
          <w:rFonts w:ascii="Times New Roman" w:hAnsi="Times New Roman"/>
          <w:b/>
        </w:rPr>
        <w:t xml:space="preserve">Nurodykite, pagal kurią </w:t>
      </w:r>
      <w:r w:rsidR="00E93A92">
        <w:rPr>
          <w:rFonts w:ascii="Times New Roman" w:hAnsi="Times New Roman"/>
          <w:b/>
        </w:rPr>
        <w:t>B</w:t>
      </w:r>
      <w:r>
        <w:rPr>
          <w:rFonts w:ascii="Times New Roman" w:hAnsi="Times New Roman"/>
          <w:b/>
        </w:rPr>
        <w:t>endrojo bendrosios išimties reglamento nuostatą įgyvendinama pagalbos priemonė</w:t>
      </w:r>
    </w:p>
    <w:p w14:paraId="56FEBB0E" w14:textId="77777777" w:rsidR="00A962FC" w:rsidRPr="00A962FC" w:rsidRDefault="00A962FC" w:rsidP="00A962FC">
      <w:pPr>
        <w:spacing w:after="0"/>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2"/>
        <w:gridCol w:w="1431"/>
        <w:gridCol w:w="2583"/>
        <w:gridCol w:w="1715"/>
        <w:gridCol w:w="1315"/>
      </w:tblGrid>
      <w:tr w:rsidR="00D4557C" w:rsidRPr="00BD22AC" w14:paraId="285AE336" w14:textId="77777777" w:rsidTr="00D4557C">
        <w:tc>
          <w:tcPr>
            <w:tcW w:w="1111" w:type="pct"/>
            <w:tcBorders>
              <w:top w:val="single" w:sz="6" w:space="0" w:color="000000"/>
              <w:left w:val="single" w:sz="6" w:space="0" w:color="000000"/>
              <w:bottom w:val="single" w:sz="6" w:space="0" w:color="000000"/>
              <w:right w:val="single" w:sz="6" w:space="0" w:color="000000"/>
            </w:tcBorders>
            <w:shd w:val="clear" w:color="auto" w:fill="auto"/>
            <w:hideMark/>
          </w:tcPr>
          <w:p w14:paraId="103BC74C"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Pagrindinis tikslas ir bendrieji tikslai (išvardyti)</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60595E30"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Tikslai</w:t>
            </w:r>
          </w:p>
          <w:p w14:paraId="5F7F3E63"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(išvardyti)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894BD6"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Didžiausias pagalbos intensyvumas</w:t>
            </w:r>
          </w:p>
          <w:p w14:paraId="412F0B7C"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w:t>
            </w:r>
          </w:p>
          <w:p w14:paraId="44D87D79"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arba didžiausia metinė pagalbos suma nacionaline valiuta (sveikaisiais skaičiais)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52543D"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MVĮ skiriamos priemokos</w:t>
            </w:r>
          </w:p>
          <w:p w14:paraId="3176745D" w14:textId="77777777" w:rsidR="00BD22AC" w:rsidRPr="00A962FC" w:rsidRDefault="00BD22AC" w:rsidP="00BD22AC">
            <w:pPr>
              <w:spacing w:before="60" w:after="60" w:line="312" w:lineRule="atLeast"/>
              <w:ind w:right="195"/>
              <w:jc w:val="center"/>
              <w:rPr>
                <w:rFonts w:ascii="Times New Roman" w:eastAsia="Times New Roman" w:hAnsi="Times New Roman"/>
                <w:b/>
                <w:bCs/>
                <w:sz w:val="24"/>
                <w:szCs w:val="24"/>
                <w:lang w:bidi="ar-SA"/>
              </w:rPr>
            </w:pPr>
            <w:r w:rsidRPr="00A962FC">
              <w:rPr>
                <w:rFonts w:ascii="Times New Roman" w:eastAsia="Times New Roman" w:hAnsi="Times New Roman"/>
                <w:b/>
                <w:bCs/>
                <w:sz w:val="24"/>
                <w:szCs w:val="24"/>
                <w:lang w:bidi="ar-SA"/>
              </w:rPr>
              <w:t>%</w:t>
            </w:r>
          </w:p>
        </w:tc>
      </w:tr>
      <w:tr w:rsidR="00D4557C" w:rsidRPr="00BD22AC" w14:paraId="49E87027"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CB56C6" w14:textId="3DBFB606"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Regioninė pagalba: investicinė pagalba</w:t>
            </w:r>
            <w:r w:rsidR="00D4557C">
              <w:rPr>
                <w:rStyle w:val="FootnoteReference"/>
                <w:rFonts w:ascii="Times New Roman" w:eastAsia="Times New Roman" w:hAnsi="Times New Roman"/>
                <w:sz w:val="24"/>
                <w:szCs w:val="24"/>
                <w:lang w:bidi="ar-SA"/>
              </w:rPr>
              <w:footnoteReference w:id="11"/>
            </w:r>
            <w:r w:rsidR="00D4557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(14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35"/>
              <w:gridCol w:w="3564"/>
            </w:tblGrid>
            <w:tr w:rsidR="00BD22AC" w:rsidRPr="00A962FC" w14:paraId="12D6BE09" w14:textId="77777777" w:rsidTr="00BD22AC">
              <w:tc>
                <w:tcPr>
                  <w:tcW w:w="544" w:type="pct"/>
                  <w:shd w:val="clear" w:color="auto" w:fill="auto"/>
                  <w:hideMark/>
                </w:tcPr>
                <w:p w14:paraId="30CCC0B3" w14:textId="12F8AB62"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56" w:type="pct"/>
                  <w:shd w:val="clear" w:color="auto" w:fill="auto"/>
                  <w:hideMark/>
                </w:tcPr>
                <w:p w14:paraId="3A09538B"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Schema</w:t>
                  </w:r>
                </w:p>
              </w:tc>
            </w:tr>
          </w:tbl>
          <w:p w14:paraId="53451E22"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A1E767" w14:textId="4891B99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hAnsi="Times New Roman"/>
                <w:sz w:val="24"/>
                <w:szCs w:val="24"/>
              </w:rPr>
              <w:t xml:space="preserve"> </w:t>
            </w:r>
            <w:r w:rsidR="00BD22AC" w:rsidRPr="00A962FC">
              <w:rPr>
                <w:rFonts w:ascii="Times New Roman" w:hAnsi="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372738" w14:textId="198923BB"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35703466"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355B7"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35"/>
              <w:gridCol w:w="3564"/>
            </w:tblGrid>
            <w:tr w:rsidR="00BD22AC" w:rsidRPr="00A962FC" w14:paraId="07381421" w14:textId="77777777" w:rsidTr="00BD22AC">
              <w:tc>
                <w:tcPr>
                  <w:tcW w:w="544" w:type="pct"/>
                  <w:shd w:val="clear" w:color="auto" w:fill="auto"/>
                  <w:hideMark/>
                </w:tcPr>
                <w:p w14:paraId="679C4D9B" w14:textId="62954158"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56" w:type="pct"/>
                  <w:shd w:val="clear" w:color="auto" w:fill="auto"/>
                  <w:hideMark/>
                </w:tcPr>
                <w:p w14:paraId="725A2486"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proofErr w:type="spellStart"/>
                  <w:r w:rsidRPr="00A962FC">
                    <w:rPr>
                      <w:rFonts w:ascii="Times New Roman" w:eastAsia="Times New Roman" w:hAnsi="Times New Roman"/>
                      <w:i/>
                      <w:iCs/>
                      <w:sz w:val="24"/>
                      <w:szCs w:val="24"/>
                      <w:lang w:bidi="ar-SA"/>
                    </w:rPr>
                    <w:t>Ad</w:t>
                  </w:r>
                  <w:proofErr w:type="spellEnd"/>
                  <w:r w:rsidRPr="00A962FC">
                    <w:rPr>
                      <w:rFonts w:ascii="Times New Roman" w:eastAsia="Times New Roman" w:hAnsi="Times New Roman"/>
                      <w:i/>
                      <w:iCs/>
                      <w:sz w:val="24"/>
                      <w:szCs w:val="24"/>
                      <w:lang w:bidi="ar-SA"/>
                    </w:rPr>
                    <w:t xml:space="preserve"> </w:t>
                  </w:r>
                  <w:proofErr w:type="spellStart"/>
                  <w:r w:rsidRPr="00A962FC">
                    <w:rPr>
                      <w:rFonts w:ascii="Times New Roman" w:eastAsia="Times New Roman" w:hAnsi="Times New Roman"/>
                      <w:i/>
                      <w:iCs/>
                      <w:sz w:val="24"/>
                      <w:szCs w:val="24"/>
                      <w:lang w:bidi="ar-SA"/>
                    </w:rPr>
                    <w:t>hoc</w:t>
                  </w:r>
                  <w:proofErr w:type="spellEnd"/>
                  <w:r w:rsidRPr="00A962FC">
                    <w:rPr>
                      <w:rFonts w:ascii="Times New Roman" w:eastAsia="Times New Roman" w:hAnsi="Times New Roman"/>
                      <w:sz w:val="24"/>
                      <w:szCs w:val="24"/>
                      <w:lang w:bidi="ar-SA"/>
                    </w:rPr>
                    <w:t> pagalba</w:t>
                  </w:r>
                </w:p>
              </w:tc>
            </w:tr>
          </w:tbl>
          <w:p w14:paraId="0D68FBC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8EAC5A" w14:textId="6CBA77C5"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76A3A0" w14:textId="3D2C82EB"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C4D77F6"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970FE3"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Regioninė pagalba: veiklos pagalba (15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2907DE68" w14:textId="77777777" w:rsidTr="00B923CC">
              <w:tc>
                <w:tcPr>
                  <w:tcW w:w="554" w:type="pct"/>
                  <w:shd w:val="clear" w:color="auto" w:fill="auto"/>
                  <w:hideMark/>
                </w:tcPr>
                <w:p w14:paraId="3A494158" w14:textId="68D37CFB"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46" w:type="pct"/>
                  <w:shd w:val="clear" w:color="auto" w:fill="auto"/>
                  <w:hideMark/>
                </w:tcPr>
                <w:p w14:paraId="275CAA8E"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Retai apgyvendintose vietovėse (15 str. 2 dalis)</w:t>
                  </w:r>
                </w:p>
              </w:tc>
            </w:tr>
          </w:tbl>
          <w:p w14:paraId="2DEC06F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D2DFC8" w14:textId="40F4FAB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DFD724" w14:textId="6FA73DD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3409134"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00A2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35C2E948" w14:textId="77777777" w:rsidTr="00B923CC">
              <w:tc>
                <w:tcPr>
                  <w:tcW w:w="554" w:type="pct"/>
                  <w:shd w:val="clear" w:color="auto" w:fill="auto"/>
                  <w:hideMark/>
                </w:tcPr>
                <w:p w14:paraId="6393839D" w14:textId="146E93BC"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46" w:type="pct"/>
                  <w:shd w:val="clear" w:color="auto" w:fill="auto"/>
                  <w:hideMark/>
                </w:tcPr>
                <w:p w14:paraId="2D2D1672"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Labai retai apgyvendintose vietovėse (15 str. 3 dalis)</w:t>
                  </w:r>
                </w:p>
              </w:tc>
            </w:tr>
          </w:tbl>
          <w:p w14:paraId="117C4F2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F4E5B4" w14:textId="0D188FFA"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D0B20" w14:textId="71A61FA2"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D347D28"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F7C2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7374A8E8" w14:textId="77777777" w:rsidTr="00B923CC">
              <w:tc>
                <w:tcPr>
                  <w:tcW w:w="554" w:type="pct"/>
                  <w:shd w:val="clear" w:color="auto" w:fill="auto"/>
                  <w:hideMark/>
                </w:tcPr>
                <w:p w14:paraId="601A3B7B" w14:textId="71265202"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46" w:type="pct"/>
                  <w:shd w:val="clear" w:color="auto" w:fill="auto"/>
                  <w:hideMark/>
                </w:tcPr>
                <w:p w14:paraId="6968C5AF" w14:textId="1F085BAD"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Atokiausiuose regionuose </w:t>
                  </w:r>
                  <w:r w:rsidR="00D4557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(15 str. 4 dalis)</w:t>
                  </w:r>
                </w:p>
              </w:tc>
            </w:tr>
          </w:tbl>
          <w:p w14:paraId="5D80C06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2B7B1" w14:textId="02582E1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2DCD93" w14:textId="0BECA15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0950FDFA"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14"/>
              <w:gridCol w:w="5528"/>
            </w:tblGrid>
            <w:tr w:rsidR="00BD22AC" w:rsidRPr="00A962FC" w14:paraId="1700B710" w14:textId="77777777" w:rsidTr="00B923CC">
              <w:tc>
                <w:tcPr>
                  <w:tcW w:w="348" w:type="pct"/>
                  <w:shd w:val="clear" w:color="auto" w:fill="auto"/>
                  <w:hideMark/>
                </w:tcPr>
                <w:p w14:paraId="11B25202" w14:textId="381E57EF"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652" w:type="pct"/>
                  <w:shd w:val="clear" w:color="auto" w:fill="auto"/>
                  <w:hideMark/>
                </w:tcPr>
                <w:p w14:paraId="0100CE8D"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Regioninė miesto plėtros pagalba (16 str.)</w:t>
                  </w:r>
                </w:p>
              </w:tc>
            </w:tr>
          </w:tbl>
          <w:p w14:paraId="117BB15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5005E1" w14:textId="0FF5510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FE56B4" w14:textId="7E3DFA9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D6A5D17"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2C1759"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MVĮ (17–19b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7ED9FE09" w14:textId="77777777" w:rsidTr="00B923CC">
              <w:tc>
                <w:tcPr>
                  <w:tcW w:w="554" w:type="pct"/>
                  <w:shd w:val="clear" w:color="auto" w:fill="auto"/>
                  <w:hideMark/>
                </w:tcPr>
                <w:p w14:paraId="4D88554C" w14:textId="66251833"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46" w:type="pct"/>
                  <w:shd w:val="clear" w:color="auto" w:fill="auto"/>
                  <w:hideMark/>
                </w:tcPr>
                <w:p w14:paraId="023D25A6"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MVĮ (17 str.)</w:t>
                  </w:r>
                </w:p>
              </w:tc>
            </w:tr>
          </w:tbl>
          <w:p w14:paraId="0BF389F9"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00D2D3" w14:textId="2AC4A8AA"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4B96D" w14:textId="558741D2"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0278B996"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23B08"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0F09CBD9" w14:textId="77777777" w:rsidTr="00B923CC">
              <w:tc>
                <w:tcPr>
                  <w:tcW w:w="554" w:type="pct"/>
                  <w:shd w:val="clear" w:color="auto" w:fill="auto"/>
                  <w:hideMark/>
                </w:tcPr>
                <w:p w14:paraId="431F8F87" w14:textId="3CFDFFCE"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46" w:type="pct"/>
                  <w:shd w:val="clear" w:color="auto" w:fill="auto"/>
                  <w:hideMark/>
                </w:tcPr>
                <w:p w14:paraId="2CD1FDFE"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MVĮ teikiama pagalba konsultavimui (18 str.)</w:t>
                  </w:r>
                </w:p>
              </w:tc>
            </w:tr>
          </w:tbl>
          <w:p w14:paraId="05DDFDC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5C9840" w14:textId="1144229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499F7F" w14:textId="7DF0C7D5"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44FA2915"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4591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6448E7D8" w14:textId="77777777" w:rsidTr="00B923CC">
              <w:tc>
                <w:tcPr>
                  <w:tcW w:w="554" w:type="pct"/>
                  <w:shd w:val="clear" w:color="auto" w:fill="auto"/>
                  <w:hideMark/>
                </w:tcPr>
                <w:p w14:paraId="468A26D7" w14:textId="5EE3522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ab/>
                  </w:r>
                </w:p>
              </w:tc>
              <w:tc>
                <w:tcPr>
                  <w:tcW w:w="4446" w:type="pct"/>
                  <w:shd w:val="clear" w:color="auto" w:fill="auto"/>
                  <w:hideMark/>
                </w:tcPr>
                <w:p w14:paraId="3D00D71A"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MVĮ dalyvavimui mugėse (19 str.)</w:t>
                  </w:r>
                </w:p>
              </w:tc>
            </w:tr>
          </w:tbl>
          <w:p w14:paraId="5BF33CC8"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6FB367" w14:textId="192F3EA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23BBA" w14:textId="448435E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E824487"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06F4A7"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6C191DBD" w14:textId="77777777" w:rsidTr="00B923CC">
              <w:tc>
                <w:tcPr>
                  <w:tcW w:w="554" w:type="pct"/>
                  <w:shd w:val="clear" w:color="auto" w:fill="auto"/>
                  <w:hideMark/>
                </w:tcPr>
                <w:p w14:paraId="41E48555" w14:textId="17296F3B"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76DBDF79" w14:textId="131CFD66"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MVĮ, dalyvaujančių bendruomenės inicijuotos vietos plėtros (BIVP) projektuose arba Europos inovacijų partnerystės žemės ūkio našumo ir tvarumo srityje (EIP) veiklos grupių projektuose, išlaidoms padengti</w:t>
                  </w:r>
                  <w:r w:rsidR="00B0542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xml:space="preserve"> (19a str.)</w:t>
                  </w:r>
                </w:p>
              </w:tc>
            </w:tr>
          </w:tbl>
          <w:p w14:paraId="1A96D45F"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5E0BF7" w14:textId="1F14F4E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DD932" w14:textId="0204F44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A2CC692"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BE86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129E9D62" w14:textId="77777777" w:rsidTr="00B923CC">
              <w:tc>
                <w:tcPr>
                  <w:tcW w:w="554" w:type="pct"/>
                  <w:shd w:val="clear" w:color="auto" w:fill="auto"/>
                  <w:hideMark/>
                </w:tcPr>
                <w:p w14:paraId="10608155" w14:textId="70C923A7"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614E4449" w14:textId="67BE9386"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Nedidelės pagalbos sumos MVĮ, gaunančioms naudos iš bendruomenės inicijuotos vietos plėtros (BIVP) arba Europos inovacijų partnerystės žemės ūkio našumo ir tvarumo srityje (EIP) veiklos grupių projektų (19b str.)</w:t>
                  </w:r>
                  <w:r w:rsidR="00D4557C">
                    <w:rPr>
                      <w:rStyle w:val="FootnoteReference"/>
                      <w:rFonts w:ascii="Times New Roman" w:eastAsia="Times New Roman" w:hAnsi="Times New Roman"/>
                      <w:sz w:val="24"/>
                      <w:szCs w:val="24"/>
                      <w:lang w:bidi="ar-SA"/>
                    </w:rPr>
                    <w:footnoteReference w:id="12"/>
                  </w:r>
                  <w:r w:rsidR="00D4557C" w:rsidRPr="00A962FC">
                    <w:rPr>
                      <w:rFonts w:ascii="Times New Roman" w:eastAsia="Times New Roman" w:hAnsi="Times New Roman"/>
                      <w:sz w:val="24"/>
                      <w:szCs w:val="24"/>
                      <w:lang w:bidi="ar-SA"/>
                    </w:rPr>
                    <w:t xml:space="preserve"> </w:t>
                  </w:r>
                </w:p>
              </w:tc>
            </w:tr>
          </w:tbl>
          <w:p w14:paraId="6A086B8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12EDD7" w14:textId="5A31FA3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B4757" w14:textId="4A58D76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FCFB504"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CAB371"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Europos teritoriniam bendradarbiavimui (20–20a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568D7C95" w14:textId="77777777" w:rsidTr="00B923CC">
              <w:tc>
                <w:tcPr>
                  <w:tcW w:w="554" w:type="pct"/>
                  <w:shd w:val="clear" w:color="auto" w:fill="auto"/>
                  <w:hideMark/>
                </w:tcPr>
                <w:p w14:paraId="4552DF2D" w14:textId="37025D7C"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 xml:space="preserve">  </w:t>
                  </w:r>
                </w:p>
              </w:tc>
              <w:tc>
                <w:tcPr>
                  <w:tcW w:w="4446" w:type="pct"/>
                  <w:shd w:val="clear" w:color="auto" w:fill="auto"/>
                  <w:hideMark/>
                </w:tcPr>
                <w:p w14:paraId="1748951F"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išlaidoms, kurias patiria įmonės dalyvaudamos Europos teritorinio bendradarbiavimo projektuose, kompensuoti (20 str.)</w:t>
                  </w:r>
                </w:p>
              </w:tc>
            </w:tr>
          </w:tbl>
          <w:p w14:paraId="0CF1546C"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40631E" w14:textId="4D4BCEC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272BFF" w14:textId="0DAFBC8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DFB7D30"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0636C"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0F3AE89C" w14:textId="77777777" w:rsidTr="00B923CC">
              <w:tc>
                <w:tcPr>
                  <w:tcW w:w="554" w:type="pct"/>
                  <w:shd w:val="clear" w:color="auto" w:fill="auto"/>
                  <w:hideMark/>
                </w:tcPr>
                <w:p w14:paraId="32D30193" w14:textId="6E64BF96"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r w:rsidRPr="00A962FC">
                    <w:rPr>
                      <w:rFonts w:ascii="Times New Roman" w:hAnsi="Times New Roman"/>
                      <w:sz w:val="24"/>
                      <w:szCs w:val="24"/>
                    </w:rPr>
                    <w:t xml:space="preserve"> </w:t>
                  </w:r>
                </w:p>
              </w:tc>
              <w:tc>
                <w:tcPr>
                  <w:tcW w:w="4446" w:type="pct"/>
                  <w:shd w:val="clear" w:color="auto" w:fill="auto"/>
                  <w:hideMark/>
                </w:tcPr>
                <w:p w14:paraId="63F027FC" w14:textId="3F51C238"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Nedidelės pagalbos sumos įmonėms, dalyvaujančioms Europos teritorinio bendradarbiavimo projektuose (20a str.)</w:t>
                  </w:r>
                  <w:r w:rsidR="00D4557C">
                    <w:rPr>
                      <w:rStyle w:val="FootnoteReference"/>
                      <w:rFonts w:ascii="Times New Roman" w:eastAsia="Times New Roman" w:hAnsi="Times New Roman"/>
                      <w:sz w:val="24"/>
                      <w:szCs w:val="24"/>
                      <w:lang w:bidi="ar-SA"/>
                    </w:rPr>
                    <w:footnoteReference w:id="13"/>
                  </w:r>
                  <w:r w:rsidR="00D4557C" w:rsidRPr="00A962FC">
                    <w:rPr>
                      <w:rFonts w:ascii="Times New Roman" w:eastAsia="Times New Roman" w:hAnsi="Times New Roman"/>
                      <w:sz w:val="24"/>
                      <w:szCs w:val="24"/>
                      <w:lang w:bidi="ar-SA"/>
                    </w:rPr>
                    <w:t xml:space="preserve"> </w:t>
                  </w:r>
                </w:p>
              </w:tc>
            </w:tr>
          </w:tbl>
          <w:p w14:paraId="61FA580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0FD697" w14:textId="70486BA7"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A834B9" w14:textId="2556CAD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A905E8B"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FE8E6E" w14:textId="1FF1E4C1"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MVĮ: MVĮ galimybės gauti finansavimą</w:t>
            </w:r>
            <w:r w:rsidR="00D4557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xml:space="preserve"> (21–22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2E8B4FC1" w14:textId="77777777" w:rsidTr="00B923CC">
              <w:tc>
                <w:tcPr>
                  <w:tcW w:w="554" w:type="pct"/>
                  <w:shd w:val="clear" w:color="auto" w:fill="auto"/>
                  <w:hideMark/>
                </w:tcPr>
                <w:p w14:paraId="27AACC55" w14:textId="27E74592"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5E6D9F76"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Rizikos finansų pagalba (21 str.)</w:t>
                  </w:r>
                </w:p>
              </w:tc>
            </w:tr>
          </w:tbl>
          <w:p w14:paraId="317F6972"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CF514" w14:textId="29E0192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530916" w14:textId="10A46E8A"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8F1CF72"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87D442"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295020F3" w14:textId="77777777" w:rsidTr="00B923CC">
              <w:tc>
                <w:tcPr>
                  <w:tcW w:w="554" w:type="pct"/>
                  <w:shd w:val="clear" w:color="auto" w:fill="auto"/>
                  <w:hideMark/>
                </w:tcPr>
                <w:p w14:paraId="48E6D90B" w14:textId="37D619F1"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5B21589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Verslo pradžios pagalba (22 str.)</w:t>
                  </w:r>
                </w:p>
              </w:tc>
            </w:tr>
          </w:tbl>
          <w:p w14:paraId="020CD56F"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64BDEB" w14:textId="04D5E443"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D6BBDC" w14:textId="624BCA8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6727A070"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8"/>
              <w:gridCol w:w="5534"/>
            </w:tblGrid>
            <w:tr w:rsidR="00BD22AC" w:rsidRPr="00A962FC" w14:paraId="7CA4BF26" w14:textId="77777777" w:rsidTr="00B923CC">
              <w:tc>
                <w:tcPr>
                  <w:tcW w:w="343" w:type="pct"/>
                  <w:shd w:val="clear" w:color="auto" w:fill="auto"/>
                  <w:hideMark/>
                </w:tcPr>
                <w:p w14:paraId="4FB0312A" w14:textId="2EE01428"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7" w:type="pct"/>
                  <w:shd w:val="clear" w:color="auto" w:fill="auto"/>
                  <w:hideMark/>
                </w:tcPr>
                <w:p w14:paraId="355AEF8D"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MVĮ: pagalba MVĮ skirtoms alternatyvioms prekybos platformoms (23 str.)</w:t>
                  </w:r>
                </w:p>
              </w:tc>
            </w:tr>
          </w:tbl>
          <w:p w14:paraId="57460738"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8FD745" w14:textId="36D88A4F"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p w14:paraId="0D424970"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jeigu pagalbos priemonė yra verslo pradžios pagalba –</w:t>
            </w:r>
          </w:p>
          <w:p w14:paraId="4307F939"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0C7A4" w14:textId="7E8F80C4"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20F05370"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8"/>
              <w:gridCol w:w="5534"/>
            </w:tblGrid>
            <w:tr w:rsidR="00BD22AC" w:rsidRPr="00A962FC" w14:paraId="46D42CE1" w14:textId="77777777" w:rsidTr="00B923CC">
              <w:tc>
                <w:tcPr>
                  <w:tcW w:w="343" w:type="pct"/>
                  <w:shd w:val="clear" w:color="auto" w:fill="auto"/>
                  <w:hideMark/>
                </w:tcPr>
                <w:p w14:paraId="7642DBED" w14:textId="3350EC7D"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lastRenderedPageBreak/>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7" w:type="pct"/>
                  <w:shd w:val="clear" w:color="auto" w:fill="auto"/>
                  <w:hideMark/>
                </w:tcPr>
                <w:p w14:paraId="7DFBFADF"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MVĮ: pagalba žvalgymo išlaidoms kompensuoti (24 str.)</w:t>
                  </w:r>
                </w:p>
              </w:tc>
            </w:tr>
          </w:tbl>
          <w:p w14:paraId="54CA94E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BFEBC3" w14:textId="0EDDD2A8"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C4835D" w14:textId="336435B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149FEF22"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BDC28F" w14:textId="35468613"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moksliniams tyrimams, technologinei plėtrai ir inovacijoms</w:t>
            </w:r>
            <w:r w:rsidR="00D4557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xml:space="preserve"> (25–30 str.)</w:t>
            </w:r>
          </w:p>
        </w:tc>
        <w:tc>
          <w:tcPr>
            <w:tcW w:w="79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DDBDBF"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mokslinių tyrimų ir technologinės plėtros projektams (25 str.)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444"/>
              <w:gridCol w:w="2055"/>
            </w:tblGrid>
            <w:tr w:rsidR="00BD22AC" w:rsidRPr="00A962FC" w14:paraId="694CE998" w14:textId="77777777" w:rsidTr="00B923CC">
              <w:tc>
                <w:tcPr>
                  <w:tcW w:w="889" w:type="pct"/>
                  <w:shd w:val="clear" w:color="auto" w:fill="auto"/>
                  <w:hideMark/>
                </w:tcPr>
                <w:p w14:paraId="25C4FB0A" w14:textId="10EFF696"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111" w:type="pct"/>
                  <w:shd w:val="clear" w:color="auto" w:fill="auto"/>
                  <w:hideMark/>
                </w:tcPr>
                <w:p w14:paraId="10DF8062"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Fundamentiniai tyrimai (25 str. 2 dalies a punktas)</w:t>
                  </w:r>
                </w:p>
              </w:tc>
            </w:tr>
          </w:tbl>
          <w:p w14:paraId="46AA5CB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B29811" w14:textId="3E85F065"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808CA2" w14:textId="266EBF2C"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170A9F72"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59B6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46C2A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444"/>
              <w:gridCol w:w="2055"/>
            </w:tblGrid>
            <w:tr w:rsidR="00BD22AC" w:rsidRPr="00A962FC" w14:paraId="740B92F3" w14:textId="77777777" w:rsidTr="00B923CC">
              <w:tc>
                <w:tcPr>
                  <w:tcW w:w="889" w:type="pct"/>
                  <w:shd w:val="clear" w:color="auto" w:fill="auto"/>
                  <w:hideMark/>
                </w:tcPr>
                <w:p w14:paraId="77A5BE5A" w14:textId="475AB67C"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111" w:type="pct"/>
                  <w:shd w:val="clear" w:color="auto" w:fill="auto"/>
                  <w:hideMark/>
                </w:tcPr>
                <w:p w14:paraId="2C848C6A"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Pramoniniai tyrimai (25 str. 2 dalies b punktas)</w:t>
                  </w:r>
                </w:p>
              </w:tc>
            </w:tr>
          </w:tbl>
          <w:p w14:paraId="7B11695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217C6"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56EE8D" w14:textId="01A8CC3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06A64204"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3949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7EC7F"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444"/>
              <w:gridCol w:w="2055"/>
            </w:tblGrid>
            <w:tr w:rsidR="00BD22AC" w:rsidRPr="00A962FC" w14:paraId="6276B683" w14:textId="77777777" w:rsidTr="00B923CC">
              <w:tc>
                <w:tcPr>
                  <w:tcW w:w="889" w:type="pct"/>
                  <w:shd w:val="clear" w:color="auto" w:fill="auto"/>
                  <w:hideMark/>
                </w:tcPr>
                <w:p w14:paraId="37F8B235" w14:textId="7E177E6C"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111" w:type="pct"/>
                  <w:shd w:val="clear" w:color="auto" w:fill="auto"/>
                  <w:hideMark/>
                </w:tcPr>
                <w:p w14:paraId="5AD96EA6" w14:textId="0C43A31C"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Bandomoji taikomoji veikla</w:t>
                  </w:r>
                  <w:r w:rsidR="00D4557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(25 str. 2 dalies c punktas)</w:t>
                  </w:r>
                </w:p>
              </w:tc>
            </w:tr>
          </w:tbl>
          <w:p w14:paraId="7F44A21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0C53A3" w14:textId="731435A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135B4" w14:textId="43AEE332"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D550F8D"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F3E3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43792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444"/>
              <w:gridCol w:w="2055"/>
            </w:tblGrid>
            <w:tr w:rsidR="00BD22AC" w:rsidRPr="00A962FC" w14:paraId="10656234" w14:textId="77777777" w:rsidTr="00B923CC">
              <w:tc>
                <w:tcPr>
                  <w:tcW w:w="889" w:type="pct"/>
                  <w:shd w:val="clear" w:color="auto" w:fill="auto"/>
                  <w:hideMark/>
                </w:tcPr>
                <w:p w14:paraId="638AF86C" w14:textId="6659F97B"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111" w:type="pct"/>
                  <w:shd w:val="clear" w:color="auto" w:fill="auto"/>
                  <w:hideMark/>
                </w:tcPr>
                <w:p w14:paraId="656936BA"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Galimybių studijos (25 str. 2 dalies d punktas)</w:t>
                  </w:r>
                </w:p>
              </w:tc>
            </w:tr>
          </w:tbl>
          <w:p w14:paraId="1C751632"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E14392" w14:textId="695A460A"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EA15DA" w14:textId="274EDC1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3BEAFF91"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29FB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6AD66C47" w14:textId="77777777" w:rsidTr="00B923CC">
              <w:tc>
                <w:tcPr>
                  <w:tcW w:w="554" w:type="pct"/>
                  <w:shd w:val="clear" w:color="auto" w:fill="auto"/>
                  <w:hideMark/>
                </w:tcPr>
                <w:p w14:paraId="6DF6F7E3" w14:textId="6E7AFBE2"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3690C4B0"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projektams, kuriems kaip kokybės ženklas suteiktas pažangumo ženklas (25a str.)</w:t>
                  </w:r>
                </w:p>
              </w:tc>
            </w:tr>
          </w:tbl>
          <w:p w14:paraId="3F04BF8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356375"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35542B" w14:textId="175F3FD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09D0C4C5"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B209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60E89321" w14:textId="77777777" w:rsidTr="00B923CC">
              <w:tc>
                <w:tcPr>
                  <w:tcW w:w="554" w:type="pct"/>
                  <w:shd w:val="clear" w:color="auto" w:fill="auto"/>
                  <w:hideMark/>
                </w:tcPr>
                <w:p w14:paraId="3E2AE415" w14:textId="03F5849E" w:rsidR="00BD22AC" w:rsidRPr="00A962FC" w:rsidRDefault="009E6D0E" w:rsidP="00BD22AC">
                  <w:pPr>
                    <w:spacing w:before="120" w:after="0" w:line="312" w:lineRule="atLeast"/>
                    <w:jc w:val="both"/>
                    <w:rPr>
                      <w:rFonts w:ascii="Times New Roman" w:hAnsi="Times New Roman"/>
                      <w:sz w:val="24"/>
                      <w:szCs w:val="24"/>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p w14:paraId="647083C8" w14:textId="4B7C8B36" w:rsidR="009E6D0E" w:rsidRPr="00A962FC" w:rsidRDefault="009E6D0E" w:rsidP="009E6D0E">
                  <w:pPr>
                    <w:rPr>
                      <w:rFonts w:ascii="Times New Roman" w:hAnsi="Times New Roman"/>
                      <w:sz w:val="24"/>
                      <w:szCs w:val="24"/>
                    </w:rPr>
                  </w:pPr>
                  <w:r w:rsidRPr="00A962FC">
                    <w:rPr>
                      <w:rFonts w:ascii="Times New Roman" w:hAnsi="Times New Roman"/>
                      <w:sz w:val="24"/>
                      <w:szCs w:val="24"/>
                    </w:rPr>
                    <w:t xml:space="preserve"> </w:t>
                  </w:r>
                </w:p>
                <w:p w14:paraId="5FFDFC32" w14:textId="0E7CCA7B" w:rsidR="009E6D0E" w:rsidRPr="00A962FC" w:rsidRDefault="009E6D0E" w:rsidP="009E6D0E">
                  <w:pPr>
                    <w:rPr>
                      <w:rFonts w:ascii="Times New Roman" w:eastAsia="Times New Roman" w:hAnsi="Times New Roman"/>
                      <w:sz w:val="24"/>
                      <w:szCs w:val="24"/>
                      <w:lang w:bidi="ar-SA"/>
                    </w:rPr>
                  </w:pPr>
                </w:p>
              </w:tc>
              <w:tc>
                <w:tcPr>
                  <w:tcW w:w="4446" w:type="pct"/>
                  <w:shd w:val="clear" w:color="auto" w:fill="auto"/>
                  <w:hideMark/>
                </w:tcPr>
                <w:p w14:paraId="2DC104F9"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veiksmams pagal programą „</w:t>
                  </w:r>
                  <w:proofErr w:type="spellStart"/>
                  <w:r w:rsidRPr="00A962FC">
                    <w:rPr>
                      <w:rFonts w:ascii="Times New Roman" w:eastAsia="Times New Roman" w:hAnsi="Times New Roman"/>
                      <w:sz w:val="24"/>
                      <w:szCs w:val="24"/>
                      <w:lang w:bidi="ar-SA"/>
                    </w:rPr>
                    <w:t>Marie</w:t>
                  </w:r>
                  <w:proofErr w:type="spellEnd"/>
                  <w:r w:rsidRPr="00A962FC">
                    <w:rPr>
                      <w:rFonts w:ascii="Times New Roman" w:eastAsia="Times New Roman" w:hAnsi="Times New Roman"/>
                      <w:sz w:val="24"/>
                      <w:szCs w:val="24"/>
                      <w:lang w:bidi="ar-SA"/>
                    </w:rPr>
                    <w:t xml:space="preserve"> </w:t>
                  </w:r>
                  <w:proofErr w:type="spellStart"/>
                  <w:r w:rsidRPr="00A962FC">
                    <w:rPr>
                      <w:rFonts w:ascii="Times New Roman" w:eastAsia="Times New Roman" w:hAnsi="Times New Roman"/>
                      <w:sz w:val="24"/>
                      <w:szCs w:val="24"/>
                      <w:lang w:bidi="ar-SA"/>
                    </w:rPr>
                    <w:t>Skłodowskos-Curie</w:t>
                  </w:r>
                  <w:proofErr w:type="spellEnd"/>
                  <w:r w:rsidRPr="00A962FC">
                    <w:rPr>
                      <w:rFonts w:ascii="Times New Roman" w:eastAsia="Times New Roman" w:hAnsi="Times New Roman"/>
                      <w:sz w:val="24"/>
                      <w:szCs w:val="24"/>
                      <w:lang w:bidi="ar-SA"/>
                    </w:rPr>
                    <w:t xml:space="preserve"> veiksmai“ ir EMTT koncepcijos pagrindimo programą (25b str.)</w:t>
                  </w:r>
                </w:p>
              </w:tc>
            </w:tr>
          </w:tbl>
          <w:p w14:paraId="55614E8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0F50D7"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9D04E0" w14:textId="3C2200B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01C3AF62"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9604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9" w:type="pct"/>
              <w:tblCellMar>
                <w:left w:w="0" w:type="dxa"/>
                <w:right w:w="0" w:type="dxa"/>
              </w:tblCellMar>
              <w:tblLook w:val="04A0" w:firstRow="1" w:lastRow="0" w:firstColumn="1" w:lastColumn="0" w:noHBand="0" w:noVBand="1"/>
            </w:tblPr>
            <w:tblGrid>
              <w:gridCol w:w="435"/>
              <w:gridCol w:w="3491"/>
            </w:tblGrid>
            <w:tr w:rsidR="00BD22AC" w:rsidRPr="00A962FC" w14:paraId="3440B259" w14:textId="77777777" w:rsidTr="00D4557C">
              <w:tc>
                <w:tcPr>
                  <w:tcW w:w="554" w:type="pct"/>
                  <w:shd w:val="clear" w:color="auto" w:fill="auto"/>
                  <w:hideMark/>
                </w:tcPr>
                <w:p w14:paraId="4D9066A7" w14:textId="7CED4762"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37BEF819"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bendrai finansuojamiems mokslinių tyrimų ir technologijų plėtros projektams (25c str.)</w:t>
                  </w:r>
                </w:p>
              </w:tc>
            </w:tr>
          </w:tbl>
          <w:p w14:paraId="3106BCF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8B8E17" w14:textId="59DEEF5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D70411" w14:textId="7F832B5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4E43B931"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C06B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9" w:type="pct"/>
              <w:tblCellMar>
                <w:left w:w="0" w:type="dxa"/>
                <w:right w:w="0" w:type="dxa"/>
              </w:tblCellMar>
              <w:tblLook w:val="04A0" w:firstRow="1" w:lastRow="0" w:firstColumn="1" w:lastColumn="0" w:noHBand="0" w:noVBand="1"/>
            </w:tblPr>
            <w:tblGrid>
              <w:gridCol w:w="435"/>
              <w:gridCol w:w="3491"/>
            </w:tblGrid>
            <w:tr w:rsidR="00BD22AC" w:rsidRPr="00A962FC" w14:paraId="4864AF74" w14:textId="77777777" w:rsidTr="00D4557C">
              <w:tc>
                <w:tcPr>
                  <w:tcW w:w="554" w:type="pct"/>
                  <w:shd w:val="clear" w:color="auto" w:fill="auto"/>
                  <w:hideMark/>
                </w:tcPr>
                <w:p w14:paraId="730A523A" w14:textId="35D87E54"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6E01714E" w14:textId="4FB2195F"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susiejimo veiksmams </w:t>
                  </w:r>
                  <w:r w:rsidR="00D4557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(25d str.)</w:t>
                  </w:r>
                </w:p>
              </w:tc>
            </w:tr>
          </w:tbl>
          <w:p w14:paraId="59ABC13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F5CA7" w14:textId="58910F9C"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324311" w14:textId="2BFA254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2CA3139F"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247AB9"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77235337" w14:textId="77777777" w:rsidTr="00B923CC">
              <w:tc>
                <w:tcPr>
                  <w:tcW w:w="554" w:type="pct"/>
                  <w:shd w:val="clear" w:color="auto" w:fill="auto"/>
                  <w:hideMark/>
                </w:tcPr>
                <w:p w14:paraId="6D84D097" w14:textId="4D731C94"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1B431257"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mokslinių tyrimų infrastruktūroms (26 str.)</w:t>
                  </w:r>
                </w:p>
              </w:tc>
            </w:tr>
          </w:tbl>
          <w:p w14:paraId="213C6D5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3BDFA7" w14:textId="5010AB3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FFC7DB" w14:textId="178C12E8"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2169DFBA"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4864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4B4A9BE1" w14:textId="77777777" w:rsidTr="00B923CC">
              <w:tc>
                <w:tcPr>
                  <w:tcW w:w="554" w:type="pct"/>
                  <w:shd w:val="clear" w:color="auto" w:fill="auto"/>
                  <w:hideMark/>
                </w:tcPr>
                <w:p w14:paraId="0510A253" w14:textId="541C3F38"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6A2FEAAB"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inovacijų grupėms (27 str.)</w:t>
                  </w:r>
                </w:p>
              </w:tc>
            </w:tr>
          </w:tbl>
          <w:p w14:paraId="084AE6F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AB472" w14:textId="2A84304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394DC9" w14:textId="73BE076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4FCE879D"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8B5E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0D998FE2" w14:textId="77777777" w:rsidTr="00B923CC">
              <w:tc>
                <w:tcPr>
                  <w:tcW w:w="554" w:type="pct"/>
                  <w:shd w:val="clear" w:color="auto" w:fill="auto"/>
                  <w:hideMark/>
                </w:tcPr>
                <w:p w14:paraId="4A26C511" w14:textId="5AB21EEF" w:rsidR="00BD22AC" w:rsidRPr="00A962FC" w:rsidRDefault="009E6D0E"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4C6303E7"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Inovacijų pagalba MVĮ (28 str.)</w:t>
                  </w:r>
                </w:p>
              </w:tc>
            </w:tr>
          </w:tbl>
          <w:p w14:paraId="57319835"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A9118E" w14:textId="2C3CAD1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13486F" w14:textId="5C2DD77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FDB71F0"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5823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18F4B367" w14:textId="77777777" w:rsidTr="00B923CC">
              <w:tc>
                <w:tcPr>
                  <w:tcW w:w="554" w:type="pct"/>
                  <w:shd w:val="clear" w:color="auto" w:fill="auto"/>
                  <w:hideMark/>
                </w:tcPr>
                <w:p w14:paraId="3CD0DB82" w14:textId="4FD417F5"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009E6D0E" w:rsidRPr="00A962FC">
                    <w:rPr>
                      <w:rFonts w:ascii="Times New Roman" w:hAnsi="Times New Roman"/>
                      <w:sz w:val="24"/>
                      <w:szCs w:val="24"/>
                    </w:rPr>
                    <w:fldChar w:fldCharType="begin">
                      <w:ffData>
                        <w:name w:val="Check1"/>
                        <w:enabled/>
                        <w:calcOnExit w:val="0"/>
                        <w:checkBox>
                          <w:sizeAuto/>
                          <w:default w:val="0"/>
                        </w:checkBox>
                      </w:ffData>
                    </w:fldChar>
                  </w:r>
                  <w:r w:rsidR="009E6D0E" w:rsidRPr="00A962FC">
                    <w:rPr>
                      <w:rFonts w:ascii="Times New Roman" w:hAnsi="Times New Roman"/>
                      <w:sz w:val="24"/>
                      <w:szCs w:val="24"/>
                    </w:rPr>
                    <w:instrText xml:space="preserve"> FORMCHECKBOX </w:instrText>
                  </w:r>
                  <w:r w:rsidR="009E6D0E" w:rsidRPr="00A962FC">
                    <w:rPr>
                      <w:rFonts w:ascii="Times New Roman" w:hAnsi="Times New Roman"/>
                      <w:sz w:val="24"/>
                      <w:szCs w:val="24"/>
                    </w:rPr>
                  </w:r>
                  <w:r w:rsidR="009E6D0E" w:rsidRPr="00A962FC">
                    <w:rPr>
                      <w:rFonts w:ascii="Times New Roman" w:hAnsi="Times New Roman"/>
                      <w:sz w:val="24"/>
                      <w:szCs w:val="24"/>
                    </w:rPr>
                    <w:fldChar w:fldCharType="separate"/>
                  </w:r>
                  <w:r w:rsidR="009E6D0E" w:rsidRPr="00A962FC">
                    <w:rPr>
                      <w:rFonts w:ascii="Times New Roman" w:hAnsi="Times New Roman"/>
                      <w:sz w:val="24"/>
                      <w:szCs w:val="24"/>
                    </w:rPr>
                    <w:fldChar w:fldCharType="end"/>
                  </w:r>
                </w:p>
              </w:tc>
              <w:tc>
                <w:tcPr>
                  <w:tcW w:w="4446" w:type="pct"/>
                  <w:shd w:val="clear" w:color="auto" w:fill="auto"/>
                  <w:hideMark/>
                </w:tcPr>
                <w:p w14:paraId="3381E32B"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Procesų ir organizacinių inovacijų diegimo pagalba (29 str.)</w:t>
                  </w:r>
                </w:p>
              </w:tc>
            </w:tr>
          </w:tbl>
          <w:p w14:paraId="7E933488"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3357F" w14:textId="2ECA40E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383F26" w14:textId="65AF2E1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32232A5"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EFBE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6EC3161A" w14:textId="77777777" w:rsidTr="00B923CC">
              <w:tc>
                <w:tcPr>
                  <w:tcW w:w="554" w:type="pct"/>
                  <w:shd w:val="clear" w:color="auto" w:fill="auto"/>
                  <w:hideMark/>
                </w:tcPr>
                <w:p w14:paraId="5403709D" w14:textId="16A804DF"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230415BF"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moksliniams tyrimams ir technologinei plėtrai žuvininkystės ir akvakultūros sektoriuje (30 str.)</w:t>
                  </w:r>
                </w:p>
              </w:tc>
            </w:tr>
          </w:tbl>
          <w:p w14:paraId="4D33DBD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63680" w14:textId="2027973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E5B374" w14:textId="0C87337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5A2A802A"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08"/>
              <w:gridCol w:w="5603"/>
            </w:tblGrid>
            <w:tr w:rsidR="00BD22AC" w:rsidRPr="00A962FC" w14:paraId="3411564D" w14:textId="77777777" w:rsidTr="00D4557C">
              <w:trPr>
                <w:trHeight w:val="633"/>
              </w:trPr>
              <w:tc>
                <w:tcPr>
                  <w:tcW w:w="339" w:type="pct"/>
                  <w:shd w:val="clear" w:color="auto" w:fill="auto"/>
                  <w:hideMark/>
                </w:tcPr>
                <w:p w14:paraId="31FDC50D" w14:textId="751450C1"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61" w:type="pct"/>
                  <w:shd w:val="clear" w:color="auto" w:fill="auto"/>
                  <w:hideMark/>
                </w:tcPr>
                <w:p w14:paraId="6F7D46C8"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mokymui (31 str.)</w:t>
                  </w:r>
                </w:p>
              </w:tc>
            </w:tr>
          </w:tbl>
          <w:p w14:paraId="1828945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CF1183" w14:textId="29E0B12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FB4DF" w14:textId="724DF724"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14B650D4"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B83AB18" w14:textId="52626A23"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lastRenderedPageBreak/>
              <w:t xml:space="preserve">Pagalba nepalankias sąlygas darbo rinkoje turintiems asmenims ir neįgaliems darbuotojams </w:t>
            </w:r>
            <w:r w:rsidR="00B923C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(32–35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35"/>
              <w:gridCol w:w="3492"/>
            </w:tblGrid>
            <w:tr w:rsidR="00BD22AC" w:rsidRPr="00A962FC" w14:paraId="502F0D62" w14:textId="77777777" w:rsidTr="00B923CC">
              <w:tc>
                <w:tcPr>
                  <w:tcW w:w="554" w:type="pct"/>
                  <w:shd w:val="clear" w:color="auto" w:fill="auto"/>
                  <w:hideMark/>
                </w:tcPr>
                <w:p w14:paraId="75477768" w14:textId="076DFC79"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51BCB9C1"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Nepalankias sąlygas darbo rinkoje turinčių asmenų įdarbinimo pagalba darbo užmokesčio subsidijų forma (32 str.)</w:t>
                  </w:r>
                </w:p>
              </w:tc>
            </w:tr>
          </w:tbl>
          <w:p w14:paraId="3821548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B37B8D" w14:textId="340F1C7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97D440" w14:textId="0204986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5F259BD"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47839F"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40AEF8E2" w14:textId="77777777" w:rsidTr="00B923CC">
              <w:tc>
                <w:tcPr>
                  <w:tcW w:w="554" w:type="pct"/>
                  <w:shd w:val="clear" w:color="auto" w:fill="auto"/>
                  <w:hideMark/>
                </w:tcPr>
                <w:p w14:paraId="1F9143DB" w14:textId="217B6BC6"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22E4DAEA"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Neįgaliųjų užimtumo pagalba darbo užmokesčio subsidijų forma (33 str.)</w:t>
                  </w:r>
                </w:p>
              </w:tc>
            </w:tr>
          </w:tbl>
          <w:p w14:paraId="138EC095"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7EDCBB" w14:textId="42C3A26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6F283" w14:textId="0556C9C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1A4029ED"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992CF"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7CC521F0" w14:textId="77777777" w:rsidTr="00B923CC">
              <w:tc>
                <w:tcPr>
                  <w:tcW w:w="554" w:type="pct"/>
                  <w:shd w:val="clear" w:color="auto" w:fill="auto"/>
                  <w:hideMark/>
                </w:tcPr>
                <w:p w14:paraId="6631DF4C" w14:textId="0F4F336B"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2250471F"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neįgaliųjų užimtumo papildomoms išlaidoms kompensuoti (34 str.)</w:t>
                  </w:r>
                </w:p>
              </w:tc>
            </w:tr>
          </w:tbl>
          <w:p w14:paraId="31B3DE7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69380A" w14:textId="663AF4FB"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97D12B" w14:textId="6D86EF5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14B1B1DC"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531A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3956AB73" w14:textId="77777777" w:rsidTr="00B923CC">
              <w:tc>
                <w:tcPr>
                  <w:tcW w:w="554" w:type="pct"/>
                  <w:shd w:val="clear" w:color="auto" w:fill="auto"/>
                  <w:hideMark/>
                </w:tcPr>
                <w:p w14:paraId="389DC0BC" w14:textId="6C7455DA"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16F7BE92"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Paramos nepalankias sąlygas darbo rinkoje turintiems asmenims išlaidų kompensavimo pagalba (35 str.)</w:t>
                  </w:r>
                </w:p>
              </w:tc>
            </w:tr>
          </w:tbl>
          <w:p w14:paraId="4CFC2E6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CCDCF" w14:textId="7ED522A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02E02" w14:textId="6C99DC74"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0D6EBA98"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010D92" w14:textId="254181F1"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aplinkos apsaugai </w:t>
            </w:r>
            <w:r w:rsidR="00B923CC">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(36–49 str.)</w:t>
            </w: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000A54B4" w14:textId="77777777" w:rsidTr="00B923CC">
              <w:tc>
                <w:tcPr>
                  <w:tcW w:w="554" w:type="pct"/>
                  <w:shd w:val="clear" w:color="auto" w:fill="auto"/>
                  <w:hideMark/>
                </w:tcPr>
                <w:p w14:paraId="43723E31" w14:textId="460E7F0F"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10C8BD14"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leidžianti įmonėms taikyti griežtesnius nei Sąjungos aplinkos apsaugos standartus arba gerinti aplinkos apsaugą, jeigu Sąjungos standartų nėra (36 str.)</w:t>
                  </w:r>
                </w:p>
              </w:tc>
            </w:tr>
          </w:tbl>
          <w:p w14:paraId="276025D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98F955" w14:textId="519FB9A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A210E3" w14:textId="65AB2DAC"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1F82B8F"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F922CC"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1F9ED6C4" w14:textId="77777777" w:rsidTr="00B923CC">
              <w:tc>
                <w:tcPr>
                  <w:tcW w:w="554" w:type="pct"/>
                  <w:shd w:val="clear" w:color="auto" w:fill="auto"/>
                  <w:hideMark/>
                </w:tcPr>
                <w:p w14:paraId="4FB8D42F" w14:textId="484E3A8B"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00B0F47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Investicinė pagalba netaršių ir </w:t>
                  </w:r>
                  <w:proofErr w:type="spellStart"/>
                  <w:r w:rsidRPr="00A962FC">
                    <w:rPr>
                      <w:rFonts w:ascii="Times New Roman" w:eastAsia="Times New Roman" w:hAnsi="Times New Roman"/>
                      <w:sz w:val="24"/>
                      <w:szCs w:val="24"/>
                      <w:lang w:bidi="ar-SA"/>
                    </w:rPr>
                    <w:t>mažataršių</w:t>
                  </w:r>
                  <w:proofErr w:type="spellEnd"/>
                  <w:r w:rsidRPr="00A962FC">
                    <w:rPr>
                      <w:rFonts w:ascii="Times New Roman" w:eastAsia="Times New Roman" w:hAnsi="Times New Roman"/>
                      <w:sz w:val="24"/>
                      <w:szCs w:val="24"/>
                      <w:lang w:bidi="ar-SA"/>
                    </w:rPr>
                    <w:t xml:space="preserve"> kelių transporto priemonių viešajai įkrovimo arba degalų papildymo infrastruktūrai (36a str.)</w:t>
                  </w:r>
                </w:p>
              </w:tc>
            </w:tr>
          </w:tbl>
          <w:p w14:paraId="2BA1E1C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EE2E5" w14:textId="77A2636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3366B6" w14:textId="7304101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B76A9F9"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ABE5D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43747AE9" w14:textId="77777777" w:rsidTr="00B923CC">
              <w:tc>
                <w:tcPr>
                  <w:tcW w:w="554" w:type="pct"/>
                  <w:shd w:val="clear" w:color="auto" w:fill="auto"/>
                  <w:hideMark/>
                </w:tcPr>
                <w:p w14:paraId="359C46BD" w14:textId="46CFA3F2"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475282E6"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skirta iš anksto prisitaikyti prie būsimų Sąjungos standartų (37 str.)</w:t>
                  </w:r>
                </w:p>
              </w:tc>
            </w:tr>
          </w:tbl>
          <w:p w14:paraId="669C0FD0"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17903B" w14:textId="2BCD6767"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04EFF6" w14:textId="7DEA8F8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2FA26F1D"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3AE2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62CDE583" w14:textId="77777777" w:rsidTr="00B923CC">
              <w:tc>
                <w:tcPr>
                  <w:tcW w:w="554" w:type="pct"/>
                  <w:shd w:val="clear" w:color="auto" w:fill="auto"/>
                  <w:hideMark/>
                </w:tcPr>
                <w:p w14:paraId="151D7314" w14:textId="26D158F3"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25D4765F"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energijos vartojimo efektyvumo priemonėms (38 str.)</w:t>
                  </w:r>
                </w:p>
              </w:tc>
            </w:tr>
          </w:tbl>
          <w:p w14:paraId="0FEACBF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9FF330"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414936" w14:textId="02322FD4"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D4703F7"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D84DB"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592DA50E" w14:textId="77777777" w:rsidTr="00B923CC">
              <w:tc>
                <w:tcPr>
                  <w:tcW w:w="554" w:type="pct"/>
                  <w:shd w:val="clear" w:color="auto" w:fill="auto"/>
                  <w:hideMark/>
                </w:tcPr>
                <w:p w14:paraId="212E6674" w14:textId="7C28BF48"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0C1D400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pastatų energijos vartojimo efektyvumo projektams finansinių priemonių forma (39 str.)</w:t>
                  </w:r>
                </w:p>
              </w:tc>
            </w:tr>
          </w:tbl>
          <w:p w14:paraId="4721EE7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C71A88"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51CD8B" w14:textId="5A6185CC"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70048FFB"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701CF5"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51FEC3AC" w14:textId="77777777" w:rsidTr="00B923CC">
              <w:tc>
                <w:tcPr>
                  <w:tcW w:w="554" w:type="pct"/>
                  <w:shd w:val="clear" w:color="auto" w:fill="auto"/>
                  <w:hideMark/>
                </w:tcPr>
                <w:p w14:paraId="7013B127" w14:textId="3F46DA49"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3E801051"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Investicinė pagalba didelio naudingumo </w:t>
                  </w:r>
                  <w:proofErr w:type="spellStart"/>
                  <w:r w:rsidRPr="00A962FC">
                    <w:rPr>
                      <w:rFonts w:ascii="Times New Roman" w:eastAsia="Times New Roman" w:hAnsi="Times New Roman"/>
                      <w:sz w:val="24"/>
                      <w:szCs w:val="24"/>
                      <w:lang w:bidi="ar-SA"/>
                    </w:rPr>
                    <w:t>kogeneracijai</w:t>
                  </w:r>
                  <w:proofErr w:type="spellEnd"/>
                  <w:r w:rsidRPr="00A962FC">
                    <w:rPr>
                      <w:rFonts w:ascii="Times New Roman" w:eastAsia="Times New Roman" w:hAnsi="Times New Roman"/>
                      <w:sz w:val="24"/>
                      <w:szCs w:val="24"/>
                      <w:lang w:bidi="ar-SA"/>
                    </w:rPr>
                    <w:t xml:space="preserve"> (40 str.)</w:t>
                  </w:r>
                </w:p>
              </w:tc>
            </w:tr>
          </w:tbl>
          <w:p w14:paraId="35A58BE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F5F943" w14:textId="0E4EA7A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6843FA" w14:textId="6A56BC4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41B7A00D"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1478E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433C09CB" w14:textId="77777777" w:rsidTr="00B923CC">
              <w:tc>
                <w:tcPr>
                  <w:tcW w:w="554" w:type="pct"/>
                  <w:shd w:val="clear" w:color="auto" w:fill="auto"/>
                  <w:hideMark/>
                </w:tcPr>
                <w:p w14:paraId="7E704043" w14:textId="1C31032E"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335E49A5" w14:textId="348A4163"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D4557C">
                    <w:rPr>
                      <w:rFonts w:ascii="Times New Roman" w:eastAsia="Times New Roman" w:hAnsi="Times New Roman"/>
                      <w:sz w:val="24"/>
                      <w:szCs w:val="24"/>
                      <w:lang w:bidi="ar-SA"/>
                    </w:rPr>
                    <w:t>Investicinė</w:t>
                  </w:r>
                  <w:r w:rsidR="00D4557C" w:rsidRPr="00D4557C">
                    <w:rPr>
                      <w:rFonts w:ascii="Times New Roman" w:eastAsia="Times New Roman" w:hAnsi="Times New Roman"/>
                      <w:sz w:val="24"/>
                      <w:szCs w:val="24"/>
                      <w:lang w:bidi="ar-SA"/>
                    </w:rPr>
                    <w:t xml:space="preserve"> </w:t>
                  </w:r>
                  <w:r w:rsidRPr="00D4557C">
                    <w:rPr>
                      <w:rFonts w:ascii="Times New Roman" w:eastAsia="Times New Roman" w:hAnsi="Times New Roman"/>
                      <w:sz w:val="24"/>
                      <w:szCs w:val="24"/>
                      <w:lang w:bidi="ar-SA"/>
                    </w:rPr>
                    <w:t>pagalba</w:t>
                  </w:r>
                  <w:r w:rsidRPr="00A962FC">
                    <w:rPr>
                      <w:rFonts w:ascii="Times New Roman" w:eastAsia="Times New Roman" w:hAnsi="Times New Roman"/>
                      <w:sz w:val="24"/>
                      <w:szCs w:val="24"/>
                      <w:lang w:bidi="ar-SA"/>
                    </w:rPr>
                    <w:t xml:space="preserve"> atsinaujinančiųjų išteklių energijos gamybai skatinti (41 str.)</w:t>
                  </w:r>
                </w:p>
              </w:tc>
            </w:tr>
          </w:tbl>
          <w:p w14:paraId="71509C3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4EFC6" w14:textId="7A8349AC"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EF4F07" w14:textId="1C81C01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57029B47"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83EAC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0119D58D" w14:textId="77777777" w:rsidTr="00B923CC">
              <w:tc>
                <w:tcPr>
                  <w:tcW w:w="554" w:type="pct"/>
                  <w:shd w:val="clear" w:color="auto" w:fill="auto"/>
                  <w:hideMark/>
                </w:tcPr>
                <w:p w14:paraId="2BD22517" w14:textId="1F53BB54"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37E5AC90"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Veiklos pagalba atsinaujinančiųjų išteklių elektros energijos gamybai skatinti (42 str.)</w:t>
                  </w:r>
                </w:p>
              </w:tc>
            </w:tr>
          </w:tbl>
          <w:p w14:paraId="57222F67"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17090" w14:textId="38B40DF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C82A10" w14:textId="04AB3E9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1C2D40D0"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BC91D"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36CA113C" w14:textId="77777777" w:rsidTr="00B923CC">
              <w:tc>
                <w:tcPr>
                  <w:tcW w:w="554" w:type="pct"/>
                  <w:shd w:val="clear" w:color="auto" w:fill="auto"/>
                  <w:hideMark/>
                </w:tcPr>
                <w:p w14:paraId="512F1A9A" w14:textId="6A464128"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171C6136"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Veiklos pagalba atsinaujinančių išteklių energijos gamybai mažos galios įrenginiuose skatinti (43 str.)</w:t>
                  </w:r>
                </w:p>
              </w:tc>
            </w:tr>
          </w:tbl>
          <w:p w14:paraId="0104029E"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51662" w14:textId="6E87EEF4"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985CCF" w14:textId="388BD62E"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297872A0"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C31F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27FCC1F5" w14:textId="77777777" w:rsidTr="00B923CC">
              <w:tc>
                <w:tcPr>
                  <w:tcW w:w="554" w:type="pct"/>
                  <w:shd w:val="clear" w:color="auto" w:fill="auto"/>
                  <w:hideMark/>
                </w:tcPr>
                <w:p w14:paraId="47B563A6" w14:textId="243E8BDA"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14BCBF1F"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aplinkosaugos mokesčių lengvatų forma pagal Tarybos direktyvą 2003/96/EB (šio reglamento 44 str.)</w:t>
                  </w:r>
                </w:p>
              </w:tc>
            </w:tr>
          </w:tbl>
          <w:p w14:paraId="26A9A89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B5D231" w14:textId="6FE6F20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D8F1F" w14:textId="67A4819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254596BB"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24037"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35"/>
              <w:gridCol w:w="3564"/>
            </w:tblGrid>
            <w:tr w:rsidR="00BD22AC" w:rsidRPr="00A962FC" w14:paraId="6037CF95" w14:textId="77777777" w:rsidTr="005D7327">
              <w:tc>
                <w:tcPr>
                  <w:tcW w:w="544" w:type="pct"/>
                  <w:shd w:val="clear" w:color="auto" w:fill="auto"/>
                  <w:hideMark/>
                </w:tcPr>
                <w:p w14:paraId="78F63A85" w14:textId="0BAA3ACC"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56" w:type="pct"/>
                  <w:shd w:val="clear" w:color="auto" w:fill="auto"/>
                  <w:hideMark/>
                </w:tcPr>
                <w:p w14:paraId="192FF788"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užterštų teritorijų atkūrimo pagalba (45 str.)</w:t>
                  </w:r>
                </w:p>
              </w:tc>
            </w:tr>
          </w:tbl>
          <w:p w14:paraId="5823634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A4F7C1" w14:textId="456C614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C19A34" w14:textId="2D0B963B"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A659AEF"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B4559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4AAC7A3C" w14:textId="77777777" w:rsidTr="00B923CC">
              <w:tc>
                <w:tcPr>
                  <w:tcW w:w="554" w:type="pct"/>
                  <w:shd w:val="clear" w:color="auto" w:fill="auto"/>
                  <w:hideMark/>
                </w:tcPr>
                <w:p w14:paraId="1644F4B3" w14:textId="1C9E5770"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6E6C4553"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didelio energinio efektyvumo centralizuotam šilumos ir vėsumos tiekimui (46 str.)</w:t>
                  </w:r>
                </w:p>
              </w:tc>
            </w:tr>
          </w:tbl>
          <w:p w14:paraId="55DA3E04"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8A00B6" w14:textId="69DBA82B"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4A171E" w14:textId="308F2742"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07402736"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62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64D69FDC" w14:textId="77777777" w:rsidTr="00B923CC">
              <w:tc>
                <w:tcPr>
                  <w:tcW w:w="554" w:type="pct"/>
                  <w:shd w:val="clear" w:color="auto" w:fill="auto"/>
                  <w:hideMark/>
                </w:tcPr>
                <w:p w14:paraId="2B594B76" w14:textId="018D276D"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1BB0B32E"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atliekų perdirbimui ir pakartotiniam naudojimui (47 str.)</w:t>
                  </w:r>
                </w:p>
              </w:tc>
            </w:tr>
          </w:tbl>
          <w:p w14:paraId="18BFA4F3"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27B295" w14:textId="2ACF643F"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FAA95E" w14:textId="7EE1CFF0"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3CB8A2F5"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CEE9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724975CA" w14:textId="77777777" w:rsidTr="00B923CC">
              <w:tc>
                <w:tcPr>
                  <w:tcW w:w="554" w:type="pct"/>
                  <w:shd w:val="clear" w:color="auto" w:fill="auto"/>
                  <w:hideMark/>
                </w:tcPr>
                <w:p w14:paraId="2DCA5553" w14:textId="1F2E3BDE"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463820A7"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energetikos infrastruktūrai (48 str.)</w:t>
                  </w:r>
                </w:p>
              </w:tc>
            </w:tr>
          </w:tbl>
          <w:p w14:paraId="0738BF65"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1346A8" w14:textId="71458A9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8A6104" w14:textId="37F3168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616C23BA"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055F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05" w:type="pct"/>
              <w:tblCellMar>
                <w:left w:w="0" w:type="dxa"/>
                <w:right w:w="0" w:type="dxa"/>
              </w:tblCellMar>
              <w:tblLook w:val="04A0" w:firstRow="1" w:lastRow="0" w:firstColumn="1" w:lastColumn="0" w:noHBand="0" w:noVBand="1"/>
            </w:tblPr>
            <w:tblGrid>
              <w:gridCol w:w="435"/>
              <w:gridCol w:w="3488"/>
            </w:tblGrid>
            <w:tr w:rsidR="00BD22AC" w:rsidRPr="00A962FC" w14:paraId="1D14A940" w14:textId="77777777" w:rsidTr="00B923CC">
              <w:tc>
                <w:tcPr>
                  <w:tcW w:w="554" w:type="pct"/>
                  <w:shd w:val="clear" w:color="auto" w:fill="auto"/>
                  <w:hideMark/>
                </w:tcPr>
                <w:p w14:paraId="2EFDB639" w14:textId="4BBB8120"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46" w:type="pct"/>
                  <w:shd w:val="clear" w:color="auto" w:fill="auto"/>
                  <w:hideMark/>
                </w:tcPr>
                <w:p w14:paraId="564480F9"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aplinkos apsaugos tyrimams atlikti (49 str.)</w:t>
                  </w:r>
                </w:p>
              </w:tc>
            </w:tr>
          </w:tbl>
          <w:p w14:paraId="3CADB918"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A29413" w14:textId="13E1DA0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178C3F" w14:textId="03B4526D"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D4557C" w:rsidRPr="00BD22AC" w14:paraId="21E2277D"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tbl>
            <w:tblPr>
              <w:tblW w:w="4599" w:type="pct"/>
              <w:tblCellMar>
                <w:left w:w="0" w:type="dxa"/>
                <w:right w:w="0" w:type="dxa"/>
              </w:tblCellMar>
              <w:tblLook w:val="04A0" w:firstRow="1" w:lastRow="0" w:firstColumn="1" w:lastColumn="0" w:noHBand="0" w:noVBand="1"/>
            </w:tblPr>
            <w:tblGrid>
              <w:gridCol w:w="431"/>
              <w:gridCol w:w="1406"/>
            </w:tblGrid>
            <w:tr w:rsidR="00BD22AC" w:rsidRPr="00A962FC" w14:paraId="5AECC51F" w14:textId="77777777" w:rsidTr="00B923CC">
              <w:trPr>
                <w:trHeight w:val="2576"/>
              </w:trPr>
              <w:tc>
                <w:tcPr>
                  <w:tcW w:w="1172" w:type="pct"/>
                  <w:shd w:val="clear" w:color="auto" w:fill="auto"/>
                  <w:hideMark/>
                </w:tcPr>
                <w:p w14:paraId="0CA3846B" w14:textId="2F09E968"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3828" w:type="pct"/>
                  <w:shd w:val="clear" w:color="auto" w:fill="auto"/>
                  <w:hideMark/>
                </w:tcPr>
                <w:p w14:paraId="781BBB49"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Pagalbos schemos tam tikrų gaivalinių nelaimių padarytai žalai atitaisyti (50 str.)</w:t>
                  </w:r>
                </w:p>
              </w:tc>
            </w:tr>
          </w:tbl>
          <w:p w14:paraId="48531BC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375DF2F1"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Didžiausias pagalbos intensyvumas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DEA3C" w14:textId="5A763A6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FBBBE" w14:textId="37CACC1B"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3E7943B2"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11BA7A"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F2BD2E1"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Gaivalinės nelaimės rūšis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799" w:type="pct"/>
              <w:tblCellMar>
                <w:left w:w="0" w:type="dxa"/>
                <w:right w:w="0" w:type="dxa"/>
              </w:tblCellMar>
              <w:tblLook w:val="04A0" w:firstRow="1" w:lastRow="0" w:firstColumn="1" w:lastColumn="0" w:noHBand="0" w:noVBand="1"/>
            </w:tblPr>
            <w:tblGrid>
              <w:gridCol w:w="495"/>
              <w:gridCol w:w="2399"/>
            </w:tblGrid>
            <w:tr w:rsidR="00BD22AC" w:rsidRPr="00A962FC" w14:paraId="2711A56D" w14:textId="77777777" w:rsidTr="00E454A1">
              <w:tc>
                <w:tcPr>
                  <w:tcW w:w="0" w:type="auto"/>
                  <w:shd w:val="clear" w:color="auto" w:fill="auto"/>
                  <w:hideMark/>
                </w:tcPr>
                <w:p w14:paraId="5F45E59E" w14:textId="73CB8BFB"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145" w:type="pct"/>
                  <w:shd w:val="clear" w:color="auto" w:fill="auto"/>
                  <w:hideMark/>
                </w:tcPr>
                <w:p w14:paraId="1786BD1C"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žemės drebėjimas</w:t>
                  </w:r>
                </w:p>
              </w:tc>
            </w:tr>
          </w:tbl>
          <w:p w14:paraId="6B0420A9"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2CD12E45" w14:textId="77777777" w:rsidTr="00E454A1">
              <w:tc>
                <w:tcPr>
                  <w:tcW w:w="927" w:type="pct"/>
                  <w:shd w:val="clear" w:color="auto" w:fill="auto"/>
                  <w:hideMark/>
                </w:tcPr>
                <w:p w14:paraId="1865D9F9" w14:textId="761C74F5"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073" w:type="pct"/>
                  <w:shd w:val="clear" w:color="auto" w:fill="auto"/>
                  <w:hideMark/>
                </w:tcPr>
                <w:p w14:paraId="1667F290" w14:textId="2C81D5F6" w:rsidR="00BD22AC" w:rsidRPr="00A962FC" w:rsidRDefault="00B0542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G</w:t>
                  </w:r>
                  <w:r w:rsidR="00BD22AC" w:rsidRPr="00A962FC">
                    <w:rPr>
                      <w:rFonts w:ascii="Times New Roman" w:eastAsia="Times New Roman" w:hAnsi="Times New Roman"/>
                      <w:sz w:val="24"/>
                      <w:szCs w:val="24"/>
                      <w:lang w:bidi="ar-SA"/>
                    </w:rPr>
                    <w:t>riūtis</w:t>
                  </w:r>
                </w:p>
              </w:tc>
            </w:tr>
          </w:tbl>
          <w:p w14:paraId="6FE8CA21"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38E47003" w14:textId="77777777" w:rsidTr="00E454A1">
              <w:tc>
                <w:tcPr>
                  <w:tcW w:w="927" w:type="pct"/>
                  <w:shd w:val="clear" w:color="auto" w:fill="auto"/>
                  <w:hideMark/>
                </w:tcPr>
                <w:p w14:paraId="509F559D" w14:textId="3CBFC87A"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073" w:type="pct"/>
                  <w:shd w:val="clear" w:color="auto" w:fill="auto"/>
                  <w:hideMark/>
                </w:tcPr>
                <w:p w14:paraId="0BA44B2B" w14:textId="134908E5" w:rsidR="00BD22AC" w:rsidRPr="00A962FC" w:rsidRDefault="00B0542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N</w:t>
                  </w:r>
                  <w:r w:rsidR="00BD22AC" w:rsidRPr="00A962FC">
                    <w:rPr>
                      <w:rFonts w:ascii="Times New Roman" w:eastAsia="Times New Roman" w:hAnsi="Times New Roman"/>
                      <w:sz w:val="24"/>
                      <w:szCs w:val="24"/>
                      <w:lang w:bidi="ar-SA"/>
                    </w:rPr>
                    <w:t>uošliauža</w:t>
                  </w:r>
                </w:p>
              </w:tc>
            </w:tr>
          </w:tbl>
          <w:p w14:paraId="2EA9F031"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7C95D9C6" w14:textId="77777777" w:rsidTr="00E454A1">
              <w:tc>
                <w:tcPr>
                  <w:tcW w:w="927" w:type="pct"/>
                  <w:shd w:val="clear" w:color="auto" w:fill="auto"/>
                  <w:hideMark/>
                </w:tcPr>
                <w:p w14:paraId="48705E1E" w14:textId="247AB256"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073" w:type="pct"/>
                  <w:shd w:val="clear" w:color="auto" w:fill="auto"/>
                  <w:hideMark/>
                </w:tcPr>
                <w:p w14:paraId="19D78855" w14:textId="007646BE" w:rsidR="00BD22AC" w:rsidRPr="00A962FC" w:rsidRDefault="00B0542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w:t>
                  </w:r>
                  <w:r w:rsidR="00BD22AC" w:rsidRPr="00A962FC">
                    <w:rPr>
                      <w:rFonts w:ascii="Times New Roman" w:eastAsia="Times New Roman" w:hAnsi="Times New Roman"/>
                      <w:sz w:val="24"/>
                      <w:szCs w:val="24"/>
                      <w:lang w:bidi="ar-SA"/>
                    </w:rPr>
                    <w:t>otvynis</w:t>
                  </w:r>
                </w:p>
              </w:tc>
            </w:tr>
          </w:tbl>
          <w:p w14:paraId="1BD08A47"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4DCCF3E4" w14:textId="77777777" w:rsidTr="00E454A1">
              <w:tc>
                <w:tcPr>
                  <w:tcW w:w="927" w:type="pct"/>
                  <w:shd w:val="clear" w:color="auto" w:fill="auto"/>
                  <w:hideMark/>
                </w:tcPr>
                <w:p w14:paraId="2A557752" w14:textId="121841B2"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073" w:type="pct"/>
                  <w:shd w:val="clear" w:color="auto" w:fill="auto"/>
                  <w:hideMark/>
                </w:tcPr>
                <w:p w14:paraId="2BCF611A" w14:textId="7B8D102C" w:rsidR="00BD22AC" w:rsidRPr="00A962FC" w:rsidRDefault="00B0542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V</w:t>
                  </w:r>
                  <w:r w:rsidR="00BD22AC" w:rsidRPr="00A962FC">
                    <w:rPr>
                      <w:rFonts w:ascii="Times New Roman" w:eastAsia="Times New Roman" w:hAnsi="Times New Roman"/>
                      <w:sz w:val="24"/>
                      <w:szCs w:val="24"/>
                      <w:lang w:bidi="ar-SA"/>
                    </w:rPr>
                    <w:t>iesulas</w:t>
                  </w:r>
                </w:p>
              </w:tc>
            </w:tr>
          </w:tbl>
          <w:p w14:paraId="4AB55CAD"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3D716BF8" w14:textId="77777777" w:rsidTr="00E454A1">
              <w:tc>
                <w:tcPr>
                  <w:tcW w:w="927" w:type="pct"/>
                  <w:shd w:val="clear" w:color="auto" w:fill="auto"/>
                  <w:hideMark/>
                </w:tcPr>
                <w:p w14:paraId="2AB13370" w14:textId="479D02D6" w:rsidR="00BD22AC" w:rsidRPr="00A962FC" w:rsidRDefault="005D7327"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073" w:type="pct"/>
                  <w:shd w:val="clear" w:color="auto" w:fill="auto"/>
                  <w:hideMark/>
                </w:tcPr>
                <w:p w14:paraId="6B0F1A50" w14:textId="71875D6B" w:rsidR="00BD22AC" w:rsidRPr="00A962FC" w:rsidRDefault="00B0542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U</w:t>
                  </w:r>
                  <w:r w:rsidR="00BD22AC" w:rsidRPr="00A962FC">
                    <w:rPr>
                      <w:rFonts w:ascii="Times New Roman" w:eastAsia="Times New Roman" w:hAnsi="Times New Roman"/>
                      <w:sz w:val="24"/>
                      <w:szCs w:val="24"/>
                      <w:lang w:bidi="ar-SA"/>
                    </w:rPr>
                    <w:t>raganas</w:t>
                  </w:r>
                </w:p>
              </w:tc>
            </w:tr>
          </w:tbl>
          <w:p w14:paraId="4347DB24"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37DBCD2E" w14:textId="77777777" w:rsidTr="00E454A1">
              <w:tc>
                <w:tcPr>
                  <w:tcW w:w="927" w:type="pct"/>
                  <w:shd w:val="clear" w:color="auto" w:fill="auto"/>
                  <w:hideMark/>
                </w:tcPr>
                <w:p w14:paraId="36AEC9F2" w14:textId="1792DD28"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005D7327" w:rsidRPr="00A962FC">
                    <w:rPr>
                      <w:rFonts w:ascii="Times New Roman" w:hAnsi="Times New Roman"/>
                      <w:sz w:val="24"/>
                      <w:szCs w:val="24"/>
                    </w:rPr>
                    <w:fldChar w:fldCharType="begin">
                      <w:ffData>
                        <w:name w:val="Check1"/>
                        <w:enabled/>
                        <w:calcOnExit w:val="0"/>
                        <w:checkBox>
                          <w:sizeAuto/>
                          <w:default w:val="0"/>
                        </w:checkBox>
                      </w:ffData>
                    </w:fldChar>
                  </w:r>
                  <w:r w:rsidR="005D7327" w:rsidRPr="00A962FC">
                    <w:rPr>
                      <w:rFonts w:ascii="Times New Roman" w:hAnsi="Times New Roman"/>
                      <w:sz w:val="24"/>
                      <w:szCs w:val="24"/>
                    </w:rPr>
                    <w:instrText xml:space="preserve"> FORMCHECKBOX </w:instrText>
                  </w:r>
                  <w:r w:rsidR="005D7327" w:rsidRPr="00A962FC">
                    <w:rPr>
                      <w:rFonts w:ascii="Times New Roman" w:hAnsi="Times New Roman"/>
                      <w:sz w:val="24"/>
                      <w:szCs w:val="24"/>
                    </w:rPr>
                  </w:r>
                  <w:r w:rsidR="005D7327" w:rsidRPr="00A962FC">
                    <w:rPr>
                      <w:rFonts w:ascii="Times New Roman" w:hAnsi="Times New Roman"/>
                      <w:sz w:val="24"/>
                      <w:szCs w:val="24"/>
                    </w:rPr>
                    <w:fldChar w:fldCharType="separate"/>
                  </w:r>
                  <w:r w:rsidR="005D7327" w:rsidRPr="00A962FC">
                    <w:rPr>
                      <w:rFonts w:ascii="Times New Roman" w:hAnsi="Times New Roman"/>
                      <w:sz w:val="24"/>
                      <w:szCs w:val="24"/>
                    </w:rPr>
                    <w:fldChar w:fldCharType="end"/>
                  </w:r>
                </w:p>
              </w:tc>
              <w:tc>
                <w:tcPr>
                  <w:tcW w:w="4073" w:type="pct"/>
                  <w:shd w:val="clear" w:color="auto" w:fill="auto"/>
                  <w:hideMark/>
                </w:tcPr>
                <w:p w14:paraId="6A8628E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ugnikalnio išsiveržimas</w:t>
                  </w:r>
                </w:p>
              </w:tc>
            </w:tr>
          </w:tbl>
          <w:p w14:paraId="065B3E72" w14:textId="77777777" w:rsidR="00BD22AC" w:rsidRPr="00A962FC" w:rsidRDefault="00BD22AC" w:rsidP="00BD22AC">
            <w:pPr>
              <w:spacing w:after="0" w:line="240" w:lineRule="auto"/>
              <w:rPr>
                <w:rFonts w:ascii="Times New Roman" w:eastAsia="Times New Roman" w:hAnsi="Times New Roman"/>
                <w:vanish/>
                <w:sz w:val="24"/>
                <w:szCs w:val="24"/>
                <w:lang w:bidi="ar-SA"/>
              </w:rPr>
            </w:pPr>
          </w:p>
          <w:tbl>
            <w:tblPr>
              <w:tblW w:w="4799" w:type="pct"/>
              <w:tblCellMar>
                <w:left w:w="0" w:type="dxa"/>
                <w:right w:w="0" w:type="dxa"/>
              </w:tblCellMar>
              <w:tblLook w:val="04A0" w:firstRow="1" w:lastRow="0" w:firstColumn="1" w:lastColumn="0" w:noHBand="0" w:noVBand="1"/>
            </w:tblPr>
            <w:tblGrid>
              <w:gridCol w:w="537"/>
              <w:gridCol w:w="2357"/>
            </w:tblGrid>
            <w:tr w:rsidR="00BD22AC" w:rsidRPr="00A962FC" w14:paraId="4DFF4C15" w14:textId="77777777" w:rsidTr="00E454A1">
              <w:tc>
                <w:tcPr>
                  <w:tcW w:w="927" w:type="pct"/>
                  <w:shd w:val="clear" w:color="auto" w:fill="auto"/>
                  <w:hideMark/>
                </w:tcPr>
                <w:p w14:paraId="757761FE" w14:textId="783B147B"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005D7327" w:rsidRPr="00A962FC">
                    <w:rPr>
                      <w:rFonts w:ascii="Times New Roman" w:hAnsi="Times New Roman"/>
                      <w:sz w:val="24"/>
                      <w:szCs w:val="24"/>
                    </w:rPr>
                    <w:fldChar w:fldCharType="begin">
                      <w:ffData>
                        <w:name w:val="Check1"/>
                        <w:enabled/>
                        <w:calcOnExit w:val="0"/>
                        <w:checkBox>
                          <w:sizeAuto/>
                          <w:default w:val="0"/>
                        </w:checkBox>
                      </w:ffData>
                    </w:fldChar>
                  </w:r>
                  <w:r w:rsidR="005D7327" w:rsidRPr="00A962FC">
                    <w:rPr>
                      <w:rFonts w:ascii="Times New Roman" w:hAnsi="Times New Roman"/>
                      <w:sz w:val="24"/>
                      <w:szCs w:val="24"/>
                    </w:rPr>
                    <w:instrText xml:space="preserve"> FORMCHECKBOX </w:instrText>
                  </w:r>
                  <w:r w:rsidR="005D7327" w:rsidRPr="00A962FC">
                    <w:rPr>
                      <w:rFonts w:ascii="Times New Roman" w:hAnsi="Times New Roman"/>
                      <w:sz w:val="24"/>
                      <w:szCs w:val="24"/>
                    </w:rPr>
                  </w:r>
                  <w:r w:rsidR="005D7327" w:rsidRPr="00A962FC">
                    <w:rPr>
                      <w:rFonts w:ascii="Times New Roman" w:hAnsi="Times New Roman"/>
                      <w:sz w:val="24"/>
                      <w:szCs w:val="24"/>
                    </w:rPr>
                    <w:fldChar w:fldCharType="separate"/>
                  </w:r>
                  <w:r w:rsidR="005D7327" w:rsidRPr="00A962FC">
                    <w:rPr>
                      <w:rFonts w:ascii="Times New Roman" w:hAnsi="Times New Roman"/>
                      <w:sz w:val="24"/>
                      <w:szCs w:val="24"/>
                    </w:rPr>
                    <w:fldChar w:fldCharType="end"/>
                  </w:r>
                </w:p>
              </w:tc>
              <w:tc>
                <w:tcPr>
                  <w:tcW w:w="4073" w:type="pct"/>
                  <w:shd w:val="clear" w:color="auto" w:fill="auto"/>
                  <w:hideMark/>
                </w:tcPr>
                <w:p w14:paraId="7FF7518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laukinės augmenijos gaisras</w:t>
                  </w:r>
                </w:p>
              </w:tc>
            </w:tr>
          </w:tbl>
          <w:p w14:paraId="5616A9B4" w14:textId="77777777" w:rsidR="00BD22AC" w:rsidRPr="00A962FC" w:rsidRDefault="00BD22AC" w:rsidP="00BD22AC">
            <w:pPr>
              <w:spacing w:after="0" w:line="240" w:lineRule="auto"/>
              <w:rPr>
                <w:rFonts w:ascii="Times New Roman" w:eastAsia="Times New Roman" w:hAnsi="Times New Roman"/>
                <w:sz w:val="24"/>
                <w:szCs w:val="24"/>
                <w:lang w:bidi="ar-SA"/>
              </w:rPr>
            </w:pPr>
          </w:p>
        </w:tc>
      </w:tr>
      <w:tr w:rsidR="00BD22AC" w:rsidRPr="00BD22AC" w14:paraId="09EBAB53"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6CD51"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649F8B78"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Gaivalinės nelaimės data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7B65BC6" w14:textId="77777777" w:rsidR="00BD22AC" w:rsidRPr="00A962FC" w:rsidRDefault="00BD22AC" w:rsidP="00BD22A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Metai-mėnuo-diena – metai-mėnuo-diena</w:t>
            </w:r>
          </w:p>
        </w:tc>
      </w:tr>
      <w:tr w:rsidR="00BD22AC" w:rsidRPr="00BD22AC" w14:paraId="0E1A7E6C"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D22AC" w:rsidRPr="00A962FC" w14:paraId="4F1A587B" w14:textId="77777777" w:rsidTr="00E454A1">
              <w:tc>
                <w:tcPr>
                  <w:tcW w:w="342" w:type="pct"/>
                  <w:shd w:val="clear" w:color="auto" w:fill="auto"/>
                  <w:hideMark/>
                </w:tcPr>
                <w:p w14:paraId="31185450" w14:textId="5C95EDD2"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lastRenderedPageBreak/>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0D674DA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Socialinė transporto pagalba atokių regionų gyventojams (51 str.)</w:t>
                  </w:r>
                </w:p>
              </w:tc>
            </w:tr>
          </w:tbl>
          <w:p w14:paraId="40C14099"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D80639" w14:textId="6BA09F47"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738DFB" w14:textId="3FA05A1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1CE94CE2"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D22AC" w:rsidRPr="00A962FC" w14:paraId="4BD1F57C" w14:textId="77777777" w:rsidTr="00E454A1">
              <w:tc>
                <w:tcPr>
                  <w:tcW w:w="342" w:type="pct"/>
                  <w:shd w:val="clear" w:color="auto" w:fill="auto"/>
                  <w:hideMark/>
                </w:tcPr>
                <w:p w14:paraId="2970BD78" w14:textId="14AC5D89"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65215BF7"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fiksuotojo plačiajuosčio ryšio tinklams plėtoti (52 str.)</w:t>
                  </w:r>
                </w:p>
              </w:tc>
            </w:tr>
          </w:tbl>
          <w:p w14:paraId="50C37F52"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F84E7E"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83295" w14:textId="05ACD643"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78707505"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D22AC" w:rsidRPr="00A962FC" w14:paraId="6CBF556F" w14:textId="77777777" w:rsidTr="00E454A1">
              <w:tc>
                <w:tcPr>
                  <w:tcW w:w="342" w:type="pct"/>
                  <w:shd w:val="clear" w:color="auto" w:fill="auto"/>
                  <w:hideMark/>
                </w:tcPr>
                <w:p w14:paraId="3D3729E8" w14:textId="0EB6C4E6"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084F7EC7"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4G ir 5G judriojo ryšio tinklams (52a str.)</w:t>
                  </w:r>
                </w:p>
              </w:tc>
            </w:tr>
          </w:tbl>
          <w:p w14:paraId="033D658F"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6DD785"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F1E87A" w14:textId="52A47AC4"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5DB2BE86"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D22AC" w:rsidRPr="00A962FC" w14:paraId="4D56A3AC" w14:textId="77777777" w:rsidTr="00E454A1">
              <w:tc>
                <w:tcPr>
                  <w:tcW w:w="342" w:type="pct"/>
                  <w:shd w:val="clear" w:color="auto" w:fill="auto"/>
                  <w:hideMark/>
                </w:tcPr>
                <w:p w14:paraId="0D4645D1" w14:textId="338D0A2A"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5BF12649"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bendro intereso </w:t>
                  </w:r>
                  <w:proofErr w:type="spellStart"/>
                  <w:r w:rsidRPr="00A962FC">
                    <w:rPr>
                      <w:rFonts w:ascii="Times New Roman" w:eastAsia="Times New Roman" w:hAnsi="Times New Roman"/>
                      <w:sz w:val="24"/>
                      <w:szCs w:val="24"/>
                      <w:lang w:bidi="ar-SA"/>
                    </w:rPr>
                    <w:t>transeuropinio</w:t>
                  </w:r>
                  <w:proofErr w:type="spellEnd"/>
                  <w:r w:rsidRPr="00A962FC">
                    <w:rPr>
                      <w:rFonts w:ascii="Times New Roman" w:eastAsia="Times New Roman" w:hAnsi="Times New Roman"/>
                      <w:sz w:val="24"/>
                      <w:szCs w:val="24"/>
                      <w:lang w:bidi="ar-SA"/>
                    </w:rPr>
                    <w:t xml:space="preserve"> skaitmeninio ryšio infrastruktūros projektams (52b str.)</w:t>
                  </w:r>
                </w:p>
              </w:tc>
            </w:tr>
          </w:tbl>
          <w:p w14:paraId="0FD1DF92"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7A8E9A" w14:textId="77777777" w:rsidR="00BD22AC" w:rsidRPr="00A962FC" w:rsidRDefault="00BD22A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BD6404" w14:textId="0B06946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1ED77B30"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D22AC" w:rsidRPr="00A962FC" w14:paraId="0363599E" w14:textId="77777777" w:rsidTr="00E454A1">
              <w:tc>
                <w:tcPr>
                  <w:tcW w:w="342" w:type="pct"/>
                  <w:shd w:val="clear" w:color="auto" w:fill="auto"/>
                  <w:hideMark/>
                </w:tcPr>
                <w:p w14:paraId="2D441484" w14:textId="44CBCC58"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27D3CCC5"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Ryšio paslaugoms finansuoti skirti čekiai (52c str.)</w:t>
                  </w:r>
                </w:p>
              </w:tc>
            </w:tr>
          </w:tbl>
          <w:p w14:paraId="1571B0C8"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97ACD7" w14:textId="0C0B5ADC"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CE992F" w14:textId="16784681"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D22AC" w:rsidRPr="00BD22AC" w14:paraId="3CD99963"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D22AC" w:rsidRPr="00A962FC" w14:paraId="7390C09D" w14:textId="77777777" w:rsidTr="00E454A1">
              <w:tc>
                <w:tcPr>
                  <w:tcW w:w="342" w:type="pct"/>
                  <w:shd w:val="clear" w:color="auto" w:fill="auto"/>
                  <w:hideMark/>
                </w:tcPr>
                <w:p w14:paraId="4B9DB57B" w14:textId="20759286" w:rsidR="00BD22AC" w:rsidRPr="00A962FC" w:rsidRDefault="00A962FC" w:rsidP="00BD22A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7C480FBD" w14:textId="77777777" w:rsidR="00BD22AC" w:rsidRPr="00A962FC" w:rsidRDefault="00BD22AC" w:rsidP="00BD22A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kultūrai ir paveldo išsaugojimui (53 str.)</w:t>
                  </w:r>
                </w:p>
              </w:tc>
            </w:tr>
          </w:tbl>
          <w:p w14:paraId="133A4A16" w14:textId="77777777" w:rsidR="00BD22AC" w:rsidRPr="00A962FC" w:rsidRDefault="00BD22AC" w:rsidP="00BD22A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38FBFE" w14:textId="2AA96B56"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281C7C" w14:textId="1F358BD9" w:rsidR="00BD22AC" w:rsidRPr="00A962FC" w:rsidRDefault="00B0542C" w:rsidP="00BD22A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00BD22AC" w:rsidRPr="00A962FC">
              <w:rPr>
                <w:rFonts w:ascii="Times New Roman" w:eastAsia="Times New Roman" w:hAnsi="Times New Roman"/>
                <w:sz w:val="24"/>
                <w:szCs w:val="24"/>
                <w:lang w:bidi="ar-SA"/>
              </w:rPr>
              <w:t>... %</w:t>
            </w:r>
          </w:p>
        </w:tc>
      </w:tr>
      <w:tr w:rsidR="00B0542C" w:rsidRPr="00BD22AC" w14:paraId="62637AAF"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0542C" w:rsidRPr="00A962FC" w14:paraId="129155FC" w14:textId="77777777" w:rsidTr="00E454A1">
              <w:tc>
                <w:tcPr>
                  <w:tcW w:w="342" w:type="pct"/>
                  <w:shd w:val="clear" w:color="auto" w:fill="auto"/>
                  <w:hideMark/>
                </w:tcPr>
                <w:p w14:paraId="02DE4ABA" w14:textId="5982DFCB"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24E57A4B" w14:textId="7777777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Pagalbos garso ir vaizdo kūriniams schemos (54 str.)</w:t>
                  </w:r>
                </w:p>
              </w:tc>
            </w:tr>
          </w:tbl>
          <w:p w14:paraId="6C9C5AA5"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4E4B53" w14:textId="15492291" w:rsidR="00B0542C" w:rsidRPr="00A962FC" w:rsidRDefault="00B0542C" w:rsidP="00B0542C">
            <w:pPr>
              <w:spacing w:before="120" w:after="0" w:line="312" w:lineRule="atLeast"/>
              <w:ind w:left="60"/>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AC91D5" w14:textId="6442B429" w:rsidR="00B0542C" w:rsidRPr="00A962FC" w:rsidRDefault="00B0542C" w:rsidP="00B0542C">
            <w:pPr>
              <w:spacing w:before="120" w:after="0" w:line="312" w:lineRule="atLeast"/>
              <w:ind w:left="60"/>
              <w:jc w:val="both"/>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65FDCF4B"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0542C" w:rsidRPr="00A962FC" w14:paraId="558F7883" w14:textId="77777777" w:rsidTr="00E454A1">
              <w:tc>
                <w:tcPr>
                  <w:tcW w:w="342" w:type="pct"/>
                  <w:shd w:val="clear" w:color="auto" w:fill="auto"/>
                  <w:hideMark/>
                </w:tcPr>
                <w:p w14:paraId="4A843B26" w14:textId="0CD042AB"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4DDDEB0F" w14:textId="7777777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sporto ir daugiafunkcėms laisvalaikio infrastruktūroms (55 str.)</w:t>
                  </w:r>
                </w:p>
              </w:tc>
            </w:tr>
          </w:tbl>
          <w:p w14:paraId="7C0F202A"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51DEA5"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D755A7" w14:textId="6E0668CD" w:rsidR="00B0542C" w:rsidRPr="00A962FC" w:rsidRDefault="00B0542C" w:rsidP="00B0542C">
            <w:pPr>
              <w:spacing w:before="60" w:after="60" w:line="312" w:lineRule="atLeast"/>
              <w:ind w:left="6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0CBC74ED"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0542C" w:rsidRPr="00A962FC" w14:paraId="084F3874" w14:textId="77777777" w:rsidTr="00E454A1">
              <w:tc>
                <w:tcPr>
                  <w:tcW w:w="342" w:type="pct"/>
                  <w:shd w:val="clear" w:color="auto" w:fill="auto"/>
                  <w:hideMark/>
                </w:tcPr>
                <w:p w14:paraId="5506521A" w14:textId="2C9A5E62"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6E8891D3" w14:textId="7777777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Investicinė pagalba vietos infrastruktūroms (56 str.)</w:t>
                  </w:r>
                </w:p>
              </w:tc>
            </w:tr>
          </w:tbl>
          <w:p w14:paraId="623563B9"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3FA924"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48AA5C" w14:textId="06EF6D7F" w:rsidR="00B0542C" w:rsidRPr="00A962FC" w:rsidRDefault="00B0542C" w:rsidP="00B0542C">
            <w:pPr>
              <w:spacing w:before="60" w:after="60" w:line="312" w:lineRule="atLeast"/>
              <w:ind w:left="6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2CF055FB"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370"/>
              <w:gridCol w:w="5572"/>
            </w:tblGrid>
            <w:tr w:rsidR="00B0542C" w:rsidRPr="00A962FC" w14:paraId="107E084A" w14:textId="77777777" w:rsidTr="00E454A1">
              <w:tc>
                <w:tcPr>
                  <w:tcW w:w="311" w:type="pct"/>
                  <w:shd w:val="clear" w:color="auto" w:fill="auto"/>
                  <w:hideMark/>
                </w:tcPr>
                <w:p w14:paraId="34DE51FC" w14:textId="39239B49"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89" w:type="pct"/>
                  <w:shd w:val="clear" w:color="auto" w:fill="auto"/>
                  <w:hideMark/>
                </w:tcPr>
                <w:p w14:paraId="4FFBF8A1" w14:textId="7777777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regioniniams oro uostams (56a str.)</w:t>
                  </w:r>
                </w:p>
              </w:tc>
            </w:tr>
          </w:tbl>
          <w:p w14:paraId="4E10C384"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29877A"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3F3C11" w14:textId="2A485FB4" w:rsidR="00B0542C" w:rsidRPr="00A962FC" w:rsidRDefault="00B0542C" w:rsidP="00B0542C">
            <w:pPr>
              <w:spacing w:before="60" w:after="60" w:line="312" w:lineRule="atLeast"/>
              <w:ind w:left="6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078C7EFB"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06"/>
              <w:gridCol w:w="5536"/>
            </w:tblGrid>
            <w:tr w:rsidR="00B0542C" w:rsidRPr="00A962FC" w14:paraId="649A20E5" w14:textId="77777777" w:rsidTr="00E454A1">
              <w:tc>
                <w:tcPr>
                  <w:tcW w:w="342" w:type="pct"/>
                  <w:shd w:val="clear" w:color="auto" w:fill="auto"/>
                  <w:hideMark/>
                </w:tcPr>
                <w:p w14:paraId="1B1F5720" w14:textId="26091683"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58" w:type="pct"/>
                  <w:shd w:val="clear" w:color="auto" w:fill="auto"/>
                  <w:hideMark/>
                </w:tcPr>
                <w:p w14:paraId="1C5E3168" w14:textId="7777777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jūrų uostams (56b str.)</w:t>
                  </w:r>
                </w:p>
              </w:tc>
            </w:tr>
          </w:tbl>
          <w:p w14:paraId="07ECE14A"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8B7D2C"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4DB7AE" w14:textId="2D36E8AD" w:rsidR="00B0542C" w:rsidRPr="00A962FC" w:rsidRDefault="00B0542C" w:rsidP="00B0542C">
            <w:pPr>
              <w:spacing w:before="60" w:after="60" w:line="312" w:lineRule="atLeast"/>
              <w:ind w:left="6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7871DFBF" w14:textId="77777777" w:rsidTr="00BD22A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tbl>
            <w:tblPr>
              <w:tblW w:w="4943" w:type="pct"/>
              <w:tblCellMar>
                <w:left w:w="0" w:type="dxa"/>
                <w:right w:w="0" w:type="dxa"/>
              </w:tblCellMar>
              <w:tblLook w:val="04A0" w:firstRow="1" w:lastRow="0" w:firstColumn="1" w:lastColumn="0" w:noHBand="0" w:noVBand="1"/>
            </w:tblPr>
            <w:tblGrid>
              <w:gridCol w:w="458"/>
              <w:gridCol w:w="5484"/>
            </w:tblGrid>
            <w:tr w:rsidR="00B0542C" w:rsidRPr="00A962FC" w14:paraId="6B6AB3CA" w14:textId="77777777" w:rsidTr="00E454A1">
              <w:tc>
                <w:tcPr>
                  <w:tcW w:w="385" w:type="pct"/>
                  <w:shd w:val="clear" w:color="auto" w:fill="auto"/>
                  <w:hideMark/>
                </w:tcPr>
                <w:p w14:paraId="33F024E6" w14:textId="6CF7BC45"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615" w:type="pct"/>
                  <w:shd w:val="clear" w:color="auto" w:fill="auto"/>
                  <w:hideMark/>
                </w:tcPr>
                <w:p w14:paraId="1EC44A7F" w14:textId="19AAA0C0"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vidaus vandenų uostams (56c str.)</w:t>
                  </w:r>
                </w:p>
              </w:tc>
            </w:tr>
          </w:tbl>
          <w:p w14:paraId="77803B6C"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74A5EF"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0E7380" w14:textId="2E89107D" w:rsidR="00B0542C" w:rsidRPr="00A962FC" w:rsidRDefault="00B0542C" w:rsidP="00B0542C">
            <w:pPr>
              <w:spacing w:before="60" w:after="60" w:line="312" w:lineRule="atLeast"/>
              <w:ind w:left="6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51E0D345" w14:textId="77777777" w:rsidTr="00D4557C">
        <w:tc>
          <w:tcPr>
            <w:tcW w:w="11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3A191F4" w14:textId="7CCEB025" w:rsidR="00B0542C" w:rsidRPr="00A962FC" w:rsidRDefault="00B0542C" w:rsidP="00B0542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naudojama „</w:t>
            </w:r>
            <w:proofErr w:type="spellStart"/>
            <w:r w:rsidRPr="00A962FC">
              <w:rPr>
                <w:rFonts w:ascii="Times New Roman" w:eastAsia="Times New Roman" w:hAnsi="Times New Roman"/>
                <w:sz w:val="24"/>
                <w:szCs w:val="24"/>
                <w:lang w:bidi="ar-SA"/>
              </w:rPr>
              <w:t>InvestEU</w:t>
            </w:r>
            <w:proofErr w:type="spellEnd"/>
            <w:r w:rsidRPr="00A962FC">
              <w:rPr>
                <w:rFonts w:ascii="Times New Roman" w:eastAsia="Times New Roman" w:hAnsi="Times New Roman"/>
                <w:sz w:val="24"/>
                <w:szCs w:val="24"/>
                <w:lang w:bidi="ar-SA"/>
              </w:rPr>
              <w:t xml:space="preserve">“ fondo remiamiems finansiniams produktams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(56d–56f str.)</w:t>
            </w:r>
          </w:p>
        </w:tc>
        <w:tc>
          <w:tcPr>
            <w:tcW w:w="79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692950" w14:textId="77777777" w:rsidR="00B0542C" w:rsidRPr="00A962FC" w:rsidRDefault="00B0542C" w:rsidP="00B0542C">
            <w:pPr>
              <w:spacing w:before="60" w:after="60" w:line="312" w:lineRule="atLeast"/>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56e str.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58" w:type="pct"/>
              <w:tblCellMar>
                <w:left w:w="0" w:type="dxa"/>
                <w:right w:w="0" w:type="dxa"/>
              </w:tblCellMar>
              <w:tblLook w:val="04A0" w:firstRow="1" w:lastRow="0" w:firstColumn="1" w:lastColumn="0" w:noHBand="0" w:noVBand="1"/>
            </w:tblPr>
            <w:tblGrid>
              <w:gridCol w:w="383"/>
              <w:gridCol w:w="2112"/>
            </w:tblGrid>
            <w:tr w:rsidR="00B0542C" w:rsidRPr="00A962FC" w14:paraId="69E65942" w14:textId="77777777" w:rsidTr="00E454A1">
              <w:tc>
                <w:tcPr>
                  <w:tcW w:w="767" w:type="pct"/>
                  <w:shd w:val="clear" w:color="auto" w:fill="auto"/>
                  <w:hideMark/>
                </w:tcPr>
                <w:p w14:paraId="6562BC93" w14:textId="338D97B2"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3" w:type="pct"/>
                  <w:shd w:val="clear" w:color="auto" w:fill="auto"/>
                  <w:hideMark/>
                </w:tcPr>
                <w:p w14:paraId="17E93D6E" w14:textId="1806F0AC"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bendro intereso </w:t>
                  </w:r>
                  <w:proofErr w:type="spellStart"/>
                  <w:r w:rsidRPr="00A962FC">
                    <w:rPr>
                      <w:rFonts w:ascii="Times New Roman" w:eastAsia="Times New Roman" w:hAnsi="Times New Roman"/>
                      <w:sz w:val="24"/>
                      <w:szCs w:val="24"/>
                      <w:lang w:bidi="ar-SA"/>
                    </w:rPr>
                    <w:t>transeuropinio</w:t>
                  </w:r>
                  <w:proofErr w:type="spellEnd"/>
                  <w:r w:rsidRPr="00A962FC">
                    <w:rPr>
                      <w:rFonts w:ascii="Times New Roman" w:eastAsia="Times New Roman" w:hAnsi="Times New Roman"/>
                      <w:sz w:val="24"/>
                      <w:szCs w:val="24"/>
                      <w:lang w:bidi="ar-SA"/>
                    </w:rPr>
                    <w:t xml:space="preserve"> skaitmeninio ryšio infrastruktūros projektams, kurie finansuojami pagal Reglamentą (ES) 2021/1153 arba kuriems kaip kokybės ženklas pagal tą reglamentą</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suteiktas pažangumo ženklas (56e str. 2 dalis)</w:t>
                  </w:r>
                </w:p>
              </w:tc>
            </w:tr>
          </w:tbl>
          <w:p w14:paraId="44FB30F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91399B"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5BE805" w14:textId="5B4A4481" w:rsidR="00B0542C" w:rsidRPr="00A962FC" w:rsidRDefault="00B0542C" w:rsidP="00B0542C">
            <w:pPr>
              <w:spacing w:before="60" w:after="60" w:line="312" w:lineRule="atLeast"/>
              <w:ind w:left="6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2246E86E"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5D489"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756C7"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0BC20F81" w14:textId="77777777" w:rsidTr="00E454A1">
              <w:tc>
                <w:tcPr>
                  <w:tcW w:w="765" w:type="pct"/>
                  <w:shd w:val="clear" w:color="auto" w:fill="auto"/>
                  <w:hideMark/>
                </w:tcPr>
                <w:p w14:paraId="0418BCF4" w14:textId="31B22628"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44159A02" w14:textId="7777777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investicijoms į fiksuotojo plačiajuosčio ryšio tinklus, kad būtų prijungti tik tam tikri reikalavimus </w:t>
                  </w:r>
                  <w:r w:rsidRPr="00A962FC">
                    <w:rPr>
                      <w:rFonts w:ascii="Times New Roman" w:eastAsia="Times New Roman" w:hAnsi="Times New Roman"/>
                      <w:sz w:val="24"/>
                      <w:szCs w:val="24"/>
                      <w:lang w:bidi="ar-SA"/>
                    </w:rPr>
                    <w:lastRenderedPageBreak/>
                    <w:t>atitinkantys socialinę ir ekonominę pažangą skatinantys subjektai (56e str. 3 dalis)</w:t>
                  </w:r>
                </w:p>
              </w:tc>
            </w:tr>
          </w:tbl>
          <w:p w14:paraId="2ED973FF"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43D6F3"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lastRenderedPageBreak/>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9A15E6" w14:textId="4B32F270" w:rsidR="00B0542C" w:rsidRPr="00A962FC" w:rsidRDefault="00B0542C" w:rsidP="00B0542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r w:rsidR="00B0542C" w:rsidRPr="00BD22AC" w14:paraId="1C946CEA"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4F8F91"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436BB8"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7B91C5F3" w14:textId="77777777" w:rsidTr="00E454A1">
              <w:tc>
                <w:tcPr>
                  <w:tcW w:w="765" w:type="pct"/>
                  <w:shd w:val="clear" w:color="auto" w:fill="auto"/>
                  <w:hideMark/>
                </w:tcPr>
                <w:p w14:paraId="3D88349B" w14:textId="45415307"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2D56F214" w14:textId="1585800A"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elektros energijos gamybos ir energetikos infrastruktūrai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4 dalis)</w:t>
                  </w:r>
                </w:p>
              </w:tc>
            </w:tr>
          </w:tbl>
          <w:p w14:paraId="2263EF91"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EA63EA"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080AD5"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3686AF27"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31731"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D5F89"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2CF880BD" w14:textId="77777777" w:rsidTr="00E454A1">
              <w:tc>
                <w:tcPr>
                  <w:tcW w:w="765" w:type="pct"/>
                  <w:shd w:val="clear" w:color="auto" w:fill="auto"/>
                  <w:hideMark/>
                </w:tcPr>
                <w:p w14:paraId="0386CF1C" w14:textId="5A5CAB18"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65C40B75" w14:textId="103F0F0C"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socialinei, švietimo, kultūros ir gamtos paveldo infrastruktūrai ir veiklai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5 dalis)</w:t>
                  </w:r>
                </w:p>
              </w:tc>
            </w:tr>
          </w:tbl>
          <w:p w14:paraId="546FA874"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E4327"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832748"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3C2A3902"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A3545"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A8A9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16B9C7D8" w14:textId="77777777" w:rsidTr="00E454A1">
              <w:tc>
                <w:tcPr>
                  <w:tcW w:w="765" w:type="pct"/>
                  <w:shd w:val="clear" w:color="auto" w:fill="auto"/>
                  <w:hideMark/>
                </w:tcPr>
                <w:p w14:paraId="4F025867" w14:textId="5C142938"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28065A0F" w14:textId="187247B9"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transportui ir transporto infrastruktūros objektams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6 dalis)</w:t>
                  </w:r>
                </w:p>
              </w:tc>
            </w:tr>
          </w:tbl>
          <w:p w14:paraId="70346D8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59C502"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E79ACB"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42FEB5F3"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9E4B5"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7CB92"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4ECE8A18" w14:textId="77777777" w:rsidTr="00E454A1">
              <w:tc>
                <w:tcPr>
                  <w:tcW w:w="765" w:type="pct"/>
                  <w:shd w:val="clear" w:color="auto" w:fill="auto"/>
                  <w:hideMark/>
                </w:tcPr>
                <w:p w14:paraId="15B97563" w14:textId="0494D09F"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06D9062C" w14:textId="23D4BB48"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kitų rūšių infrastuktūros objektams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7 dalis)</w:t>
                  </w:r>
                </w:p>
              </w:tc>
            </w:tr>
          </w:tbl>
          <w:p w14:paraId="649498D4"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B7DC40"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8957EC"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643E206B"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7147A"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9670E"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7040C493" w14:textId="77777777" w:rsidTr="00E454A1">
              <w:tc>
                <w:tcPr>
                  <w:tcW w:w="765" w:type="pct"/>
                  <w:shd w:val="clear" w:color="auto" w:fill="auto"/>
                  <w:hideMark/>
                </w:tcPr>
                <w:p w14:paraId="40F38304" w14:textId="4DE0525F" w:rsidR="00B0542C" w:rsidRPr="00A962FC" w:rsidRDefault="00B0542C" w:rsidP="00B0542C">
                  <w:pPr>
                    <w:spacing w:before="120" w:after="0" w:line="312" w:lineRule="atLeast"/>
                    <w:jc w:val="both"/>
                    <w:rPr>
                      <w:rFonts w:ascii="Times New Roman" w:eastAsia="Times New Roman" w:hAnsi="Times New Roman"/>
                      <w:sz w:val="24"/>
                      <w:szCs w:val="24"/>
                      <w:lang w:bidi="ar-SA"/>
                    </w:rPr>
                  </w:pPr>
                  <w:r>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58F5FEE7" w14:textId="5B25A2B8"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aplinkos apsaugai, įskaitant klimato apsaugą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8 dalis)</w:t>
                  </w:r>
                </w:p>
              </w:tc>
            </w:tr>
          </w:tbl>
          <w:p w14:paraId="7FC2216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76852"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B9E2C9"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467BBC26"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E9C3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AA5D2"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1E8248BF" w14:textId="77777777" w:rsidTr="00E454A1">
              <w:tc>
                <w:tcPr>
                  <w:tcW w:w="765" w:type="pct"/>
                  <w:shd w:val="clear" w:color="auto" w:fill="auto"/>
                  <w:hideMark/>
                </w:tcPr>
                <w:p w14:paraId="7A682E98" w14:textId="069BFEEC" w:rsidR="00B0542C" w:rsidRPr="00A962FC" w:rsidRDefault="00B0542C" w:rsidP="00B0542C">
                  <w:pPr>
                    <w:spacing w:before="120" w:after="0" w:line="312" w:lineRule="atLeast"/>
                    <w:jc w:val="both"/>
                    <w:rPr>
                      <w:rFonts w:ascii="Times New Roman" w:eastAsia="Times New Roman" w:hAnsi="Times New Roman"/>
                      <w:sz w:val="24"/>
                      <w:szCs w:val="24"/>
                      <w:lang w:bidi="ar-SA"/>
                    </w:rPr>
                  </w:pPr>
                  <w:r>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09D07E19" w14:textId="0413EE74"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xml:space="preserve">Pagalba moksliniams tyrimams, technologinei plėtrai, inovacijoms ir </w:t>
                  </w:r>
                  <w:proofErr w:type="spellStart"/>
                  <w:r w:rsidRPr="00A962FC">
                    <w:rPr>
                      <w:rFonts w:ascii="Times New Roman" w:eastAsia="Times New Roman" w:hAnsi="Times New Roman"/>
                      <w:sz w:val="24"/>
                      <w:szCs w:val="24"/>
                      <w:lang w:bidi="ar-SA"/>
                    </w:rPr>
                    <w:t>skaitmenizaci</w:t>
                  </w:r>
                  <w:r>
                    <w:rPr>
                      <w:rFonts w:ascii="Times New Roman" w:eastAsia="Times New Roman" w:hAnsi="Times New Roman"/>
                      <w:sz w:val="24"/>
                      <w:szCs w:val="24"/>
                      <w:lang w:bidi="ar-SA"/>
                    </w:rPr>
                    <w:t>i</w:t>
                  </w:r>
                  <w:r w:rsidRPr="00A962FC">
                    <w:rPr>
                      <w:rFonts w:ascii="Times New Roman" w:eastAsia="Times New Roman" w:hAnsi="Times New Roman"/>
                      <w:sz w:val="24"/>
                      <w:szCs w:val="24"/>
                      <w:lang w:bidi="ar-SA"/>
                    </w:rPr>
                    <w:t>ai</w:t>
                  </w:r>
                  <w:proofErr w:type="spellEnd"/>
                  <w:r w:rsidRPr="00A962FC">
                    <w:rPr>
                      <w:rFonts w:ascii="Times New Roman" w:eastAsia="Times New Roman" w:hAnsi="Times New Roman"/>
                      <w:sz w:val="24"/>
                      <w:szCs w:val="24"/>
                      <w:lang w:bidi="ar-SA"/>
                    </w:rPr>
                    <w:t xml:space="preserve">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9 dalis)</w:t>
                  </w:r>
                </w:p>
              </w:tc>
            </w:tr>
          </w:tbl>
          <w:p w14:paraId="072D7BB1"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EEE088"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28BA31"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39E65C37"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DC93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79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4BDF93"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4866" w:type="pct"/>
              <w:tblCellMar>
                <w:left w:w="0" w:type="dxa"/>
                <w:right w:w="0" w:type="dxa"/>
              </w:tblCellMar>
              <w:tblLook w:val="04A0" w:firstRow="1" w:lastRow="0" w:firstColumn="1" w:lastColumn="0" w:noHBand="0" w:noVBand="1"/>
            </w:tblPr>
            <w:tblGrid>
              <w:gridCol w:w="382"/>
              <w:gridCol w:w="2117"/>
            </w:tblGrid>
            <w:tr w:rsidR="00B0542C" w:rsidRPr="00A962FC" w14:paraId="57226130" w14:textId="77777777" w:rsidTr="00E454A1">
              <w:tc>
                <w:tcPr>
                  <w:tcW w:w="765" w:type="pct"/>
                  <w:shd w:val="clear" w:color="auto" w:fill="auto"/>
                  <w:hideMark/>
                </w:tcPr>
                <w:p w14:paraId="0DCCD988" w14:textId="2FEAC819"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235" w:type="pct"/>
                  <w:shd w:val="clear" w:color="auto" w:fill="auto"/>
                  <w:hideMark/>
                </w:tcPr>
                <w:p w14:paraId="06C1E2B1" w14:textId="5F2189D6"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w:t>
                  </w:r>
                  <w:proofErr w:type="spellStart"/>
                  <w:r w:rsidRPr="00A962FC">
                    <w:rPr>
                      <w:rFonts w:ascii="Times New Roman" w:eastAsia="Times New Roman" w:hAnsi="Times New Roman"/>
                      <w:sz w:val="24"/>
                      <w:szCs w:val="24"/>
                      <w:lang w:bidi="ar-SA"/>
                    </w:rPr>
                    <w:t>InvestEU</w:t>
                  </w:r>
                  <w:proofErr w:type="spellEnd"/>
                  <w:r w:rsidRPr="00A962FC">
                    <w:rPr>
                      <w:rFonts w:ascii="Times New Roman" w:eastAsia="Times New Roman" w:hAnsi="Times New Roman"/>
                      <w:sz w:val="24"/>
                      <w:szCs w:val="24"/>
                      <w:lang w:bidi="ar-SA"/>
                    </w:rPr>
                    <w:t xml:space="preserve">“ fondo remiamo finansavimo forma MVĮ arba mažoms vidutinės kapitalizacijos įmonėms teikiama </w:t>
                  </w:r>
                  <w:r w:rsidRPr="00A962FC">
                    <w:rPr>
                      <w:rFonts w:ascii="Times New Roman" w:eastAsia="Times New Roman" w:hAnsi="Times New Roman"/>
                      <w:sz w:val="24"/>
                      <w:szCs w:val="24"/>
                      <w:lang w:bidi="ar-SA"/>
                    </w:rPr>
                    <w:lastRenderedPageBreak/>
                    <w:t xml:space="preserve">pagalba </w:t>
                  </w: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(56e str. 10 dalis)</w:t>
                  </w:r>
                </w:p>
              </w:tc>
            </w:tr>
          </w:tbl>
          <w:p w14:paraId="5CF753D0"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7498D"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lastRenderedPageBreak/>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D6AC9" w14:textId="77777777" w:rsidR="00B0542C" w:rsidRPr="00A962FC" w:rsidRDefault="00B0542C" w:rsidP="00B0542C">
            <w:pPr>
              <w:spacing w:before="60" w:after="60" w:line="312" w:lineRule="atLeast"/>
              <w:ind w:left="45"/>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w:t>
            </w:r>
          </w:p>
        </w:tc>
      </w:tr>
      <w:tr w:rsidR="00B0542C" w:rsidRPr="00BD22AC" w14:paraId="2C01CF3C" w14:textId="77777777" w:rsidTr="00D4557C">
        <w:tc>
          <w:tcPr>
            <w:tcW w:w="11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6C707D"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2216" w:type="pct"/>
            <w:gridSpan w:val="2"/>
            <w:tcBorders>
              <w:top w:val="single" w:sz="6" w:space="0" w:color="000000"/>
              <w:left w:val="single" w:sz="6" w:space="0" w:color="000000"/>
              <w:bottom w:val="single" w:sz="6" w:space="0" w:color="000000"/>
              <w:right w:val="single" w:sz="6" w:space="0" w:color="000000"/>
            </w:tcBorders>
            <w:shd w:val="clear" w:color="auto" w:fill="auto"/>
            <w:hideMark/>
          </w:tcPr>
          <w:tbl>
            <w:tblPr>
              <w:tblW w:w="4910" w:type="pct"/>
              <w:tblCellMar>
                <w:left w:w="0" w:type="dxa"/>
                <w:right w:w="0" w:type="dxa"/>
              </w:tblCellMar>
              <w:tblLook w:val="04A0" w:firstRow="1" w:lastRow="0" w:firstColumn="1" w:lastColumn="0" w:noHBand="0" w:noVBand="1"/>
            </w:tblPr>
            <w:tblGrid>
              <w:gridCol w:w="452"/>
              <w:gridCol w:w="3475"/>
            </w:tblGrid>
            <w:tr w:rsidR="00B0542C" w:rsidRPr="00A962FC" w14:paraId="73750A63" w14:textId="77777777" w:rsidTr="00E454A1">
              <w:tc>
                <w:tcPr>
                  <w:tcW w:w="575" w:type="pct"/>
                  <w:shd w:val="clear" w:color="auto" w:fill="auto"/>
                  <w:hideMark/>
                </w:tcPr>
                <w:p w14:paraId="3C244254" w14:textId="5B0033C0" w:rsidR="00B0542C" w:rsidRPr="00A962F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hAnsi="Times New Roman"/>
                      <w:sz w:val="24"/>
                      <w:szCs w:val="24"/>
                    </w:rPr>
                    <w:t xml:space="preserve"> </w:t>
                  </w:r>
                  <w:r w:rsidRPr="00A962FC">
                    <w:rPr>
                      <w:rFonts w:ascii="Times New Roman" w:hAnsi="Times New Roman"/>
                      <w:sz w:val="24"/>
                      <w:szCs w:val="24"/>
                    </w:rPr>
                    <w:fldChar w:fldCharType="begin">
                      <w:ffData>
                        <w:name w:val="Check1"/>
                        <w:enabled/>
                        <w:calcOnExit w:val="0"/>
                        <w:checkBox>
                          <w:sizeAuto/>
                          <w:default w:val="0"/>
                        </w:checkBox>
                      </w:ffData>
                    </w:fldChar>
                  </w:r>
                  <w:r w:rsidRPr="00A962FC">
                    <w:rPr>
                      <w:rFonts w:ascii="Times New Roman" w:hAnsi="Times New Roman"/>
                      <w:sz w:val="24"/>
                      <w:szCs w:val="24"/>
                    </w:rPr>
                    <w:instrText xml:space="preserve"> FORMCHECKBOX </w:instrText>
                  </w:r>
                  <w:r w:rsidRPr="00A962FC">
                    <w:rPr>
                      <w:rFonts w:ascii="Times New Roman" w:hAnsi="Times New Roman"/>
                      <w:sz w:val="24"/>
                      <w:szCs w:val="24"/>
                    </w:rPr>
                  </w:r>
                  <w:r w:rsidRPr="00A962FC">
                    <w:rPr>
                      <w:rFonts w:ascii="Times New Roman" w:hAnsi="Times New Roman"/>
                      <w:sz w:val="24"/>
                      <w:szCs w:val="24"/>
                    </w:rPr>
                    <w:fldChar w:fldCharType="separate"/>
                  </w:r>
                  <w:r w:rsidRPr="00A962FC">
                    <w:rPr>
                      <w:rFonts w:ascii="Times New Roman" w:hAnsi="Times New Roman"/>
                      <w:sz w:val="24"/>
                      <w:szCs w:val="24"/>
                    </w:rPr>
                    <w:fldChar w:fldCharType="end"/>
                  </w:r>
                </w:p>
              </w:tc>
              <w:tc>
                <w:tcPr>
                  <w:tcW w:w="4425" w:type="pct"/>
                  <w:shd w:val="clear" w:color="auto" w:fill="auto"/>
                  <w:hideMark/>
                </w:tcPr>
                <w:p w14:paraId="1B90787E" w14:textId="77777777" w:rsidR="00B0542C" w:rsidRDefault="00B0542C" w:rsidP="00B0542C">
                  <w:pPr>
                    <w:spacing w:before="120" w:after="0" w:line="312" w:lineRule="atLeast"/>
                    <w:jc w:val="both"/>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Pagalba, naudojama „</w:t>
                  </w:r>
                  <w:proofErr w:type="spellStart"/>
                  <w:r w:rsidRPr="00A962FC">
                    <w:rPr>
                      <w:rFonts w:ascii="Times New Roman" w:eastAsia="Times New Roman" w:hAnsi="Times New Roman"/>
                      <w:sz w:val="24"/>
                      <w:szCs w:val="24"/>
                      <w:lang w:bidi="ar-SA"/>
                    </w:rPr>
                    <w:t>InvestEU</w:t>
                  </w:r>
                  <w:proofErr w:type="spellEnd"/>
                  <w:r w:rsidRPr="00A962FC">
                    <w:rPr>
                      <w:rFonts w:ascii="Times New Roman" w:eastAsia="Times New Roman" w:hAnsi="Times New Roman"/>
                      <w:sz w:val="24"/>
                      <w:szCs w:val="24"/>
                      <w:lang w:bidi="ar-SA"/>
                    </w:rPr>
                    <w:t>“ fondo remiamiems per tarpininkus teikiamiems į komercinius tikslus orientuotiems finansiniams produktams (56f str.)</w:t>
                  </w:r>
                </w:p>
                <w:p w14:paraId="56115EF7" w14:textId="43868B08" w:rsidR="00D3153F" w:rsidRPr="00A962FC" w:rsidRDefault="00D3153F" w:rsidP="00B0542C">
                  <w:pPr>
                    <w:spacing w:before="120" w:after="0" w:line="312" w:lineRule="atLeast"/>
                    <w:jc w:val="both"/>
                    <w:rPr>
                      <w:rFonts w:ascii="Times New Roman" w:eastAsia="Times New Roman" w:hAnsi="Times New Roman"/>
                      <w:sz w:val="24"/>
                      <w:szCs w:val="24"/>
                      <w:lang w:bidi="ar-SA"/>
                    </w:rPr>
                  </w:pPr>
                </w:p>
              </w:tc>
            </w:tr>
          </w:tbl>
          <w:p w14:paraId="6C1C5DF1" w14:textId="77777777" w:rsidR="00B0542C" w:rsidRPr="00A962FC" w:rsidRDefault="00B0542C" w:rsidP="00B0542C">
            <w:pPr>
              <w:spacing w:after="0" w:line="240" w:lineRule="auto"/>
              <w:rPr>
                <w:rFonts w:ascii="Times New Roman" w:eastAsia="Times New Roman" w:hAnsi="Times New Roman"/>
                <w:sz w:val="24"/>
                <w:szCs w:val="24"/>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CC8A2" w14:textId="77777777" w:rsidR="00B0542C" w:rsidRPr="00A962FC" w:rsidRDefault="00B0542C" w:rsidP="00B0542C">
            <w:pPr>
              <w:spacing w:before="60" w:after="60" w:line="312" w:lineRule="atLeast"/>
              <w:ind w:left="60"/>
              <w:rPr>
                <w:rFonts w:ascii="Times New Roman" w:eastAsia="Times New Roman" w:hAnsi="Times New Roman"/>
                <w:sz w:val="24"/>
                <w:szCs w:val="24"/>
                <w:lang w:bidi="ar-SA"/>
              </w:rPr>
            </w:pPr>
            <w:r w:rsidRPr="00A962FC">
              <w:rPr>
                <w:rFonts w:ascii="Times New Roman" w:eastAsia="Times New Roman" w:hAnsi="Times New Roman"/>
                <w:sz w:val="24"/>
                <w:szCs w:val="24"/>
                <w:lang w:bidi="ar-SA"/>
              </w:rPr>
              <w:t>… nacionaline valiuta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9BFD9" w14:textId="55B73B8F" w:rsidR="00B0542C" w:rsidRPr="00A962FC" w:rsidRDefault="00B0542C" w:rsidP="00B0542C">
            <w:pPr>
              <w:spacing w:before="60" w:after="60" w:line="312" w:lineRule="atLeast"/>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 </w:t>
            </w:r>
            <w:r w:rsidRPr="00A962FC">
              <w:rPr>
                <w:rFonts w:ascii="Times New Roman" w:eastAsia="Times New Roman" w:hAnsi="Times New Roman"/>
                <w:sz w:val="24"/>
                <w:szCs w:val="24"/>
                <w:lang w:bidi="ar-SA"/>
              </w:rPr>
              <w:t>... %</w:t>
            </w:r>
          </w:p>
        </w:tc>
      </w:tr>
    </w:tbl>
    <w:p w14:paraId="5563B038" w14:textId="77777777" w:rsidR="00D4557C" w:rsidRPr="00BD22AC" w:rsidRDefault="00BD22AC" w:rsidP="00BD22AC">
      <w:pPr>
        <w:shd w:val="clear" w:color="auto" w:fill="FFFFFF"/>
        <w:spacing w:before="240" w:after="60" w:line="240" w:lineRule="auto"/>
        <w:rPr>
          <w:rFonts w:ascii="Times New Roman" w:eastAsia="Times New Roman" w:hAnsi="Times New Roman"/>
          <w:color w:val="444444"/>
          <w:sz w:val="27"/>
          <w:szCs w:val="27"/>
          <w:lang w:bidi="ar-SA"/>
        </w:rPr>
      </w:pPr>
      <w:r w:rsidRPr="00BD22AC">
        <w:rPr>
          <w:rFonts w:ascii="Times New Roman" w:eastAsia="Times New Roman" w:hAnsi="Times New Roman"/>
          <w:color w:val="444444"/>
          <w:sz w:val="27"/>
          <w:szCs w:val="27"/>
          <w:lang w:bidi="ar-SA"/>
        </w:rPr>
        <w:pict w14:anchorId="30912B25">
          <v:rect id="_x0000_i1025" style="width:129pt;height:.75pt" o:hrpct="0" o:hrstd="t" o:hrnoshade="t" o:hr="t" fillcolor="black" stroked="f"/>
        </w:pict>
      </w:r>
    </w:p>
    <w:p w14:paraId="4E248C2F" w14:textId="77777777" w:rsidR="00D4557C" w:rsidRDefault="00D4557C" w:rsidP="00D4557C">
      <w:pPr>
        <w:pStyle w:val="FootnoteText"/>
      </w:pPr>
      <w:r w:rsidRPr="00D4557C">
        <w:rPr>
          <w:rStyle w:val="FootnoteReference"/>
        </w:rPr>
        <w:t xml:space="preserve">3 </w:t>
      </w:r>
      <w:r>
        <w:t xml:space="preserve">            </w:t>
      </w:r>
      <w:r w:rsidRPr="00D4557C">
        <w:t>Jeigu </w:t>
      </w:r>
      <w:proofErr w:type="spellStart"/>
      <w:r w:rsidRPr="00D4557C">
        <w:rPr>
          <w:i/>
          <w:iCs/>
        </w:rPr>
        <w:t>ad</w:t>
      </w:r>
      <w:proofErr w:type="spellEnd"/>
      <w:r w:rsidRPr="00D4557C">
        <w:rPr>
          <w:i/>
          <w:iCs/>
        </w:rPr>
        <w:t xml:space="preserve"> </w:t>
      </w:r>
      <w:proofErr w:type="spellStart"/>
      <w:r w:rsidRPr="00D4557C">
        <w:rPr>
          <w:i/>
          <w:iCs/>
        </w:rPr>
        <w:t>hoc</w:t>
      </w:r>
      <w:proofErr w:type="spellEnd"/>
      <w:r w:rsidRPr="00D4557C">
        <w:t> regioninė pagalba papildo pagal pagalbos schemą (-</w:t>
      </w:r>
      <w:proofErr w:type="spellStart"/>
      <w:r w:rsidRPr="00D4557C">
        <w:t>as</w:t>
      </w:r>
      <w:proofErr w:type="spellEnd"/>
      <w:r w:rsidRPr="00D4557C">
        <w:t>) teikiamą pagalbą, nurodykite ir pagal pagalbos schemą teikiamos pagalbos intensyvumą, ir </w:t>
      </w:r>
      <w:proofErr w:type="spellStart"/>
      <w:r w:rsidRPr="00D4557C">
        <w:rPr>
          <w:i/>
          <w:iCs/>
        </w:rPr>
        <w:t>ad</w:t>
      </w:r>
      <w:proofErr w:type="spellEnd"/>
      <w:r w:rsidRPr="00D4557C">
        <w:rPr>
          <w:i/>
          <w:iCs/>
        </w:rPr>
        <w:t xml:space="preserve"> </w:t>
      </w:r>
      <w:proofErr w:type="spellStart"/>
      <w:r w:rsidRPr="00D4557C">
        <w:rPr>
          <w:i/>
          <w:iCs/>
        </w:rPr>
        <w:t>hoc</w:t>
      </w:r>
      <w:proofErr w:type="spellEnd"/>
      <w:r w:rsidRPr="00D4557C">
        <w:t> pagalbos intensyvumą.</w:t>
      </w:r>
    </w:p>
    <w:p w14:paraId="2FD6BC9A" w14:textId="6B088014" w:rsidR="00D4557C" w:rsidRPr="00D4557C" w:rsidRDefault="00D4557C" w:rsidP="00B0542C">
      <w:pPr>
        <w:pStyle w:val="FootnoteText"/>
      </w:pPr>
      <w:r w:rsidRPr="00D4557C">
        <w:rPr>
          <w:rStyle w:val="FootnoteReference"/>
        </w:rPr>
        <w:t>4</w:t>
      </w:r>
      <w:r>
        <w:t xml:space="preserve">           </w:t>
      </w:r>
      <w:r w:rsidRPr="00D4557C">
        <w:t>Pagal 11 straipsnio 1 dalį teikti ataskaitas apie pagalbą, suteiktą pagal 19b straipsnį, neprivaloma. Todėl teikti ataskaitas apie tokią pagalbą nebūtina.</w:t>
      </w:r>
      <w:r>
        <w:t xml:space="preserve"> </w:t>
      </w:r>
      <w:r w:rsidRPr="00D4557C">
        <w:t>Pagal 11 straipsnio 1 dalį teikti ataskaitas apie pagalbą, suteiktą pagal 20a straipsnį, neprivaloma. Todėl teikti ataskaitas apie tokią pagalbą nebūtina.“</w:t>
      </w:r>
    </w:p>
    <w:p w14:paraId="5C77FDBF" w14:textId="6C6C3DC4" w:rsidR="00BD22AC" w:rsidRDefault="00BD22AC" w:rsidP="00BD22AC">
      <w:pPr>
        <w:shd w:val="clear" w:color="auto" w:fill="FFFFFF"/>
        <w:spacing w:before="240" w:after="60" w:line="240" w:lineRule="auto"/>
        <w:rPr>
          <w:rFonts w:ascii="Times New Roman" w:eastAsia="Times New Roman" w:hAnsi="Times New Roman"/>
          <w:color w:val="444444"/>
          <w:sz w:val="27"/>
          <w:szCs w:val="27"/>
          <w:lang w:bidi="ar-SA"/>
        </w:rPr>
      </w:pPr>
    </w:p>
    <w:p w14:paraId="0F8A77D9" w14:textId="77777777" w:rsidR="00D4557C" w:rsidRPr="00BD22AC" w:rsidRDefault="00D4557C" w:rsidP="00BD22AC">
      <w:pPr>
        <w:shd w:val="clear" w:color="auto" w:fill="FFFFFF"/>
        <w:spacing w:before="240" w:after="60" w:line="240" w:lineRule="auto"/>
        <w:rPr>
          <w:rFonts w:ascii="Times New Roman" w:eastAsia="Times New Roman" w:hAnsi="Times New Roman"/>
          <w:color w:val="444444"/>
          <w:sz w:val="27"/>
          <w:szCs w:val="27"/>
          <w:lang w:bidi="ar-SA"/>
        </w:rPr>
      </w:pPr>
    </w:p>
    <w:p w14:paraId="024E7723" w14:textId="77777777" w:rsidR="00BD22AC" w:rsidRPr="00BD22AC" w:rsidRDefault="00BD22AC" w:rsidP="00BD22AC">
      <w:pPr>
        <w:shd w:val="clear" w:color="auto" w:fill="FFFFFF"/>
        <w:spacing w:before="60" w:after="60" w:line="312" w:lineRule="atLeast"/>
        <w:jc w:val="both"/>
        <w:rPr>
          <w:rFonts w:ascii="Times New Roman" w:eastAsia="Times New Roman" w:hAnsi="Times New Roman"/>
          <w:color w:val="444444"/>
          <w:lang w:bidi="ar-SA"/>
        </w:rPr>
      </w:pPr>
      <w:hyperlink r:id="rId14" w:anchor="ntc1-L_2021270LT.01007101-E0001" w:history="1">
        <w:r w:rsidRPr="00BD22AC">
          <w:rPr>
            <w:rFonts w:ascii="Times New Roman" w:eastAsia="Times New Roman" w:hAnsi="Times New Roman"/>
            <w:color w:val="3366CC"/>
            <w:u w:val="single"/>
            <w:lang w:bidi="ar-SA"/>
          </w:rPr>
          <w:t>(</w:t>
        </w:r>
        <w:r w:rsidRPr="00BD22AC">
          <w:rPr>
            <w:rFonts w:ascii="Times New Roman" w:eastAsia="Times New Roman" w:hAnsi="Times New Roman"/>
            <w:color w:val="3366CC"/>
            <w:sz w:val="15"/>
            <w:szCs w:val="15"/>
            <w:vertAlign w:val="superscript"/>
            <w:lang w:bidi="ar-SA"/>
          </w:rPr>
          <w:t>1</w:t>
        </w:r>
        <w:r w:rsidRPr="00BD22AC">
          <w:rPr>
            <w:rFonts w:ascii="Times New Roman" w:eastAsia="Times New Roman" w:hAnsi="Times New Roman"/>
            <w:color w:val="3366CC"/>
            <w:u w:val="single"/>
            <w:lang w:bidi="ar-SA"/>
          </w:rPr>
          <w:t>)</w:t>
        </w:r>
      </w:hyperlink>
      <w:r w:rsidRPr="00BD22AC">
        <w:rPr>
          <w:rFonts w:ascii="Times New Roman" w:eastAsia="Times New Roman" w:hAnsi="Times New Roman"/>
          <w:color w:val="444444"/>
          <w:lang w:bidi="ar-SA"/>
        </w:rPr>
        <w:t>  </w:t>
      </w:r>
      <w:r w:rsidRPr="00D4557C">
        <w:rPr>
          <w:rFonts w:ascii="Times New Roman" w:eastAsia="Times New Roman" w:hAnsi="Times New Roman"/>
          <w:sz w:val="20"/>
          <w:szCs w:val="20"/>
        </w:rPr>
        <w:t>Jeigu </w:t>
      </w:r>
      <w:proofErr w:type="spellStart"/>
      <w:r w:rsidRPr="00D4557C">
        <w:rPr>
          <w:rFonts w:ascii="Times New Roman" w:eastAsia="Times New Roman" w:hAnsi="Times New Roman"/>
          <w:i/>
          <w:iCs/>
          <w:sz w:val="20"/>
          <w:szCs w:val="20"/>
        </w:rPr>
        <w:t>ad</w:t>
      </w:r>
      <w:proofErr w:type="spellEnd"/>
      <w:r w:rsidRPr="00D4557C">
        <w:rPr>
          <w:rFonts w:ascii="Times New Roman" w:eastAsia="Times New Roman" w:hAnsi="Times New Roman"/>
          <w:i/>
          <w:iCs/>
          <w:sz w:val="20"/>
          <w:szCs w:val="20"/>
        </w:rPr>
        <w:t xml:space="preserve"> </w:t>
      </w:r>
      <w:proofErr w:type="spellStart"/>
      <w:r w:rsidRPr="00D4557C">
        <w:rPr>
          <w:rFonts w:ascii="Times New Roman" w:eastAsia="Times New Roman" w:hAnsi="Times New Roman"/>
          <w:i/>
          <w:iCs/>
          <w:sz w:val="20"/>
          <w:szCs w:val="20"/>
        </w:rPr>
        <w:t>hoc</w:t>
      </w:r>
      <w:proofErr w:type="spellEnd"/>
      <w:r w:rsidRPr="00D4557C">
        <w:rPr>
          <w:rFonts w:ascii="Times New Roman" w:eastAsia="Times New Roman" w:hAnsi="Times New Roman"/>
          <w:sz w:val="20"/>
          <w:szCs w:val="20"/>
        </w:rPr>
        <w:t> regioninė pagalba papildo pagal pagalbos schemą (-</w:t>
      </w:r>
      <w:proofErr w:type="spellStart"/>
      <w:r w:rsidRPr="00D4557C">
        <w:rPr>
          <w:rFonts w:ascii="Times New Roman" w:eastAsia="Times New Roman" w:hAnsi="Times New Roman"/>
          <w:sz w:val="20"/>
          <w:szCs w:val="20"/>
        </w:rPr>
        <w:t>as</w:t>
      </w:r>
      <w:proofErr w:type="spellEnd"/>
      <w:r w:rsidRPr="00D4557C">
        <w:rPr>
          <w:rFonts w:ascii="Times New Roman" w:eastAsia="Times New Roman" w:hAnsi="Times New Roman"/>
          <w:sz w:val="20"/>
          <w:szCs w:val="20"/>
        </w:rPr>
        <w:t>) teikiamą pagalbą, nurodykite ir pagal pagalbos schemą teikiamos pagalbos intensyvumą, ir </w:t>
      </w:r>
      <w:proofErr w:type="spellStart"/>
      <w:r w:rsidRPr="00D4557C">
        <w:rPr>
          <w:rFonts w:ascii="Times New Roman" w:eastAsia="Times New Roman" w:hAnsi="Times New Roman"/>
          <w:sz w:val="20"/>
          <w:szCs w:val="20"/>
        </w:rPr>
        <w:t>ad</w:t>
      </w:r>
      <w:proofErr w:type="spellEnd"/>
      <w:r w:rsidRPr="00D4557C">
        <w:rPr>
          <w:rFonts w:ascii="Times New Roman" w:eastAsia="Times New Roman" w:hAnsi="Times New Roman"/>
          <w:sz w:val="20"/>
          <w:szCs w:val="20"/>
        </w:rPr>
        <w:t xml:space="preserve"> </w:t>
      </w:r>
      <w:proofErr w:type="spellStart"/>
      <w:r w:rsidRPr="00D4557C">
        <w:rPr>
          <w:rFonts w:ascii="Times New Roman" w:eastAsia="Times New Roman" w:hAnsi="Times New Roman"/>
          <w:sz w:val="20"/>
          <w:szCs w:val="20"/>
        </w:rPr>
        <w:t>hoc</w:t>
      </w:r>
      <w:proofErr w:type="spellEnd"/>
      <w:r w:rsidRPr="00D4557C">
        <w:rPr>
          <w:rFonts w:ascii="Times New Roman" w:eastAsia="Times New Roman" w:hAnsi="Times New Roman"/>
          <w:sz w:val="20"/>
          <w:szCs w:val="20"/>
        </w:rPr>
        <w:t> pagalbos intensyvumą.</w:t>
      </w:r>
    </w:p>
    <w:p w14:paraId="173D18AA" w14:textId="77777777" w:rsidR="00BD22AC" w:rsidRPr="00BD22AC" w:rsidRDefault="00BD22AC" w:rsidP="00BD22AC">
      <w:pPr>
        <w:shd w:val="clear" w:color="auto" w:fill="FFFFFF"/>
        <w:spacing w:before="60" w:after="60" w:line="312" w:lineRule="atLeast"/>
        <w:jc w:val="both"/>
        <w:rPr>
          <w:rFonts w:ascii="Times New Roman" w:eastAsia="Times New Roman" w:hAnsi="Times New Roman"/>
          <w:color w:val="444444"/>
          <w:lang w:bidi="ar-SA"/>
        </w:rPr>
      </w:pPr>
      <w:hyperlink r:id="rId15" w:anchor="ntc2-L_2021270LT.01007101-E0002" w:history="1">
        <w:r w:rsidRPr="00BD22AC">
          <w:rPr>
            <w:rFonts w:ascii="Times New Roman" w:eastAsia="Times New Roman" w:hAnsi="Times New Roman"/>
            <w:color w:val="3366CC"/>
            <w:u w:val="single"/>
            <w:lang w:bidi="ar-SA"/>
          </w:rPr>
          <w:t>(</w:t>
        </w:r>
        <w:r w:rsidRPr="00BD22AC">
          <w:rPr>
            <w:rFonts w:ascii="Times New Roman" w:eastAsia="Times New Roman" w:hAnsi="Times New Roman"/>
            <w:color w:val="3366CC"/>
            <w:sz w:val="15"/>
            <w:szCs w:val="15"/>
            <w:vertAlign w:val="superscript"/>
            <w:lang w:bidi="ar-SA"/>
          </w:rPr>
          <w:t>2</w:t>
        </w:r>
        <w:r w:rsidRPr="00BD22AC">
          <w:rPr>
            <w:rFonts w:ascii="Times New Roman" w:eastAsia="Times New Roman" w:hAnsi="Times New Roman"/>
            <w:color w:val="3366CC"/>
            <w:u w:val="single"/>
            <w:lang w:bidi="ar-SA"/>
          </w:rPr>
          <w:t>)</w:t>
        </w:r>
      </w:hyperlink>
      <w:r w:rsidRPr="00BD22AC">
        <w:rPr>
          <w:rFonts w:ascii="Times New Roman" w:eastAsia="Times New Roman" w:hAnsi="Times New Roman"/>
          <w:color w:val="444444"/>
          <w:lang w:bidi="ar-SA"/>
        </w:rPr>
        <w:t>  </w:t>
      </w:r>
      <w:r w:rsidRPr="00D4557C">
        <w:rPr>
          <w:rFonts w:ascii="Times New Roman" w:eastAsia="Times New Roman" w:hAnsi="Times New Roman"/>
          <w:sz w:val="20"/>
          <w:szCs w:val="20"/>
        </w:rPr>
        <w:t>Pagal 11 straipsnio 1 dalį teikti ataskaitas apie pagalbą, suteiktą pagal 19b straipsnį, neprivaloma. Todėl teikti ataskaitas apie tokią pagalbą nebūtina.</w:t>
      </w:r>
    </w:p>
    <w:p w14:paraId="1DE7E5EA" w14:textId="77777777" w:rsidR="00BD22AC" w:rsidRPr="00D4557C" w:rsidRDefault="00BD22AC" w:rsidP="00BD22AC">
      <w:pPr>
        <w:shd w:val="clear" w:color="auto" w:fill="FFFFFF"/>
        <w:spacing w:before="60" w:after="60" w:line="312" w:lineRule="atLeast"/>
        <w:jc w:val="both"/>
        <w:rPr>
          <w:rFonts w:ascii="Times New Roman" w:eastAsia="Times New Roman" w:hAnsi="Times New Roman"/>
          <w:sz w:val="20"/>
          <w:szCs w:val="20"/>
        </w:rPr>
      </w:pPr>
      <w:hyperlink r:id="rId16" w:anchor="ntc3-L_2021270LT.01007101-E0003" w:history="1">
        <w:r w:rsidRPr="00BD22AC">
          <w:rPr>
            <w:rFonts w:ascii="Times New Roman" w:eastAsia="Times New Roman" w:hAnsi="Times New Roman"/>
            <w:color w:val="3366CC"/>
            <w:u w:val="single"/>
            <w:lang w:bidi="ar-SA"/>
          </w:rPr>
          <w:t>(</w:t>
        </w:r>
        <w:r w:rsidRPr="00BD22AC">
          <w:rPr>
            <w:rFonts w:ascii="Times New Roman" w:eastAsia="Times New Roman" w:hAnsi="Times New Roman"/>
            <w:color w:val="3366CC"/>
            <w:sz w:val="15"/>
            <w:szCs w:val="15"/>
            <w:vertAlign w:val="superscript"/>
            <w:lang w:bidi="ar-SA"/>
          </w:rPr>
          <w:t>3</w:t>
        </w:r>
        <w:r w:rsidRPr="00BD22AC">
          <w:rPr>
            <w:rFonts w:ascii="Times New Roman" w:eastAsia="Times New Roman" w:hAnsi="Times New Roman"/>
            <w:color w:val="3366CC"/>
            <w:u w:val="single"/>
            <w:lang w:bidi="ar-SA"/>
          </w:rPr>
          <w:t>)</w:t>
        </w:r>
      </w:hyperlink>
      <w:r w:rsidRPr="00BD22AC">
        <w:rPr>
          <w:rFonts w:ascii="Times New Roman" w:eastAsia="Times New Roman" w:hAnsi="Times New Roman"/>
          <w:color w:val="444444"/>
          <w:lang w:bidi="ar-SA"/>
        </w:rPr>
        <w:t>  </w:t>
      </w:r>
      <w:r w:rsidRPr="00D4557C">
        <w:rPr>
          <w:rFonts w:ascii="Times New Roman" w:eastAsia="Times New Roman" w:hAnsi="Times New Roman"/>
          <w:sz w:val="20"/>
          <w:szCs w:val="20"/>
        </w:rPr>
        <w:t>Pagal 11 straipsnio 1 dalį teikti ataskaitas apie pagalbą, suteiktą pagal 20a straipsnį, neprivaloma. Todėl teikti ataskaitas apie tokią pagalbą nebūtina.“</w:t>
      </w:r>
    </w:p>
    <w:p w14:paraId="1111C727" w14:textId="7211DE22" w:rsidR="00BD22AC" w:rsidRDefault="00BD22AC" w:rsidP="006802F3">
      <w:pPr>
        <w:spacing w:after="0"/>
        <w:rPr>
          <w:rFonts w:ascii="Times New Roman" w:hAnsi="Times New Roman"/>
          <w:b/>
        </w:rPr>
      </w:pPr>
    </w:p>
    <w:p w14:paraId="3283BCAF" w14:textId="02EA42A5" w:rsidR="00BD22AC" w:rsidRDefault="00BD22AC" w:rsidP="006802F3">
      <w:pPr>
        <w:spacing w:after="0"/>
        <w:rPr>
          <w:rFonts w:ascii="Times New Roman" w:hAnsi="Times New Roman"/>
          <w:b/>
        </w:rPr>
      </w:pPr>
    </w:p>
    <w:p w14:paraId="700B68D7" w14:textId="00C1E318" w:rsidR="00BD22AC" w:rsidRDefault="00BD22AC" w:rsidP="006802F3">
      <w:pPr>
        <w:spacing w:after="0"/>
        <w:rPr>
          <w:rFonts w:ascii="Times New Roman" w:hAnsi="Times New Roman"/>
          <w:b/>
        </w:rPr>
      </w:pPr>
    </w:p>
    <w:p w14:paraId="2931B1D0" w14:textId="727F44D7" w:rsidR="00BD22AC" w:rsidRDefault="00BD22AC" w:rsidP="006802F3">
      <w:pPr>
        <w:spacing w:after="0"/>
        <w:rPr>
          <w:rFonts w:ascii="Times New Roman" w:hAnsi="Times New Roman"/>
          <w:b/>
        </w:rPr>
      </w:pPr>
    </w:p>
    <w:p w14:paraId="1780CE01" w14:textId="436BA8CC" w:rsidR="00BD22AC" w:rsidRDefault="00BD22AC" w:rsidP="006802F3">
      <w:pPr>
        <w:spacing w:after="0"/>
        <w:rPr>
          <w:rFonts w:ascii="Times New Roman" w:hAnsi="Times New Roman"/>
          <w:b/>
        </w:rPr>
      </w:pPr>
    </w:p>
    <w:p w14:paraId="143768F0" w14:textId="2CC175F6" w:rsidR="00BD22AC" w:rsidRDefault="00BD22AC" w:rsidP="006802F3">
      <w:pPr>
        <w:spacing w:after="0"/>
        <w:rPr>
          <w:rFonts w:ascii="Times New Roman" w:hAnsi="Times New Roman"/>
          <w:b/>
        </w:rPr>
      </w:pPr>
    </w:p>
    <w:p w14:paraId="14D72FBE" w14:textId="1E4F498B" w:rsidR="00BD22AC" w:rsidRDefault="00BD22AC" w:rsidP="006802F3">
      <w:pPr>
        <w:spacing w:after="0"/>
        <w:rPr>
          <w:rFonts w:ascii="Times New Roman" w:hAnsi="Times New Roman"/>
          <w:b/>
        </w:rPr>
      </w:pPr>
    </w:p>
    <w:p w14:paraId="62C511D7" w14:textId="3D4A55B9" w:rsidR="00BD22AC" w:rsidRDefault="00BD22AC" w:rsidP="006802F3">
      <w:pPr>
        <w:spacing w:after="0"/>
        <w:rPr>
          <w:rFonts w:ascii="Times New Roman" w:hAnsi="Times New Roman"/>
          <w:b/>
        </w:rPr>
      </w:pPr>
    </w:p>
    <w:p w14:paraId="67C77445" w14:textId="69C461A4" w:rsidR="00BD22AC" w:rsidRDefault="00BD22AC" w:rsidP="006802F3">
      <w:pPr>
        <w:spacing w:after="0"/>
        <w:rPr>
          <w:rFonts w:ascii="Times New Roman" w:hAnsi="Times New Roman"/>
          <w:b/>
        </w:rPr>
      </w:pPr>
    </w:p>
    <w:p w14:paraId="2DE2C3F8" w14:textId="6F84D071" w:rsidR="00BD22AC" w:rsidRDefault="00BD22AC" w:rsidP="006802F3">
      <w:pPr>
        <w:spacing w:after="0"/>
        <w:rPr>
          <w:rFonts w:ascii="Times New Roman" w:hAnsi="Times New Roman"/>
          <w:b/>
        </w:rPr>
      </w:pPr>
    </w:p>
    <w:p w14:paraId="553D669A" w14:textId="2F95FCFC" w:rsidR="00BD22AC" w:rsidRDefault="00BD22AC" w:rsidP="006802F3">
      <w:pPr>
        <w:spacing w:after="0"/>
        <w:rPr>
          <w:rFonts w:ascii="Times New Roman" w:hAnsi="Times New Roman"/>
          <w:b/>
        </w:rPr>
      </w:pPr>
    </w:p>
    <w:p w14:paraId="28171DA0" w14:textId="19D840F2" w:rsidR="00BD22AC" w:rsidRDefault="00BD22AC" w:rsidP="006802F3">
      <w:pPr>
        <w:spacing w:after="0"/>
        <w:rPr>
          <w:rFonts w:ascii="Times New Roman" w:hAnsi="Times New Roman"/>
          <w:b/>
        </w:rPr>
      </w:pPr>
    </w:p>
    <w:p w14:paraId="184031C6" w14:textId="71C232B2" w:rsidR="00BD22AC" w:rsidRDefault="00BD22AC" w:rsidP="006802F3">
      <w:pPr>
        <w:spacing w:after="0"/>
        <w:rPr>
          <w:rFonts w:ascii="Times New Roman" w:hAnsi="Times New Roman"/>
          <w:b/>
        </w:rPr>
      </w:pPr>
    </w:p>
    <w:p w14:paraId="421FD897" w14:textId="5AC4F17F" w:rsidR="00BD22AC" w:rsidRDefault="00BD22AC" w:rsidP="006802F3">
      <w:pPr>
        <w:spacing w:after="0"/>
        <w:rPr>
          <w:rFonts w:ascii="Times New Roman" w:hAnsi="Times New Roman"/>
          <w:b/>
        </w:rPr>
      </w:pPr>
    </w:p>
    <w:p w14:paraId="50716A68" w14:textId="2A0BE662" w:rsidR="00BD22AC" w:rsidRDefault="00BD22AC" w:rsidP="006802F3">
      <w:pPr>
        <w:spacing w:after="0"/>
        <w:rPr>
          <w:rFonts w:ascii="Times New Roman" w:hAnsi="Times New Roman"/>
          <w:b/>
        </w:rPr>
      </w:pPr>
    </w:p>
    <w:p w14:paraId="259205D6" w14:textId="6DF69A1D" w:rsidR="00BD22AC" w:rsidRDefault="00BD22AC" w:rsidP="006802F3">
      <w:pPr>
        <w:spacing w:after="0"/>
        <w:rPr>
          <w:rFonts w:ascii="Times New Roman" w:hAnsi="Times New Roman"/>
          <w:b/>
        </w:rPr>
      </w:pPr>
    </w:p>
    <w:p w14:paraId="28832D4B" w14:textId="4B6D594E" w:rsidR="00BD22AC" w:rsidRDefault="00BD22AC" w:rsidP="006802F3">
      <w:pPr>
        <w:spacing w:after="0"/>
        <w:rPr>
          <w:rFonts w:ascii="Times New Roman" w:hAnsi="Times New Roman"/>
          <w:b/>
        </w:rPr>
      </w:pPr>
    </w:p>
    <w:p w14:paraId="3D07F4FB" w14:textId="754E0D62" w:rsidR="00BD22AC" w:rsidRDefault="00BD22AC" w:rsidP="006802F3">
      <w:pPr>
        <w:spacing w:after="0"/>
        <w:rPr>
          <w:rFonts w:ascii="Times New Roman" w:hAnsi="Times New Roman"/>
          <w:b/>
        </w:rPr>
      </w:pPr>
    </w:p>
    <w:p w14:paraId="27752823" w14:textId="77777777" w:rsidR="002F4E11" w:rsidRPr="006802F3" w:rsidRDefault="002F4E11" w:rsidP="000133CC">
      <w:pPr>
        <w:pStyle w:val="Annexetitre"/>
        <w:spacing w:before="0" w:after="200" w:line="276" w:lineRule="auto"/>
        <w:jc w:val="left"/>
      </w:pPr>
    </w:p>
    <w:sectPr w:rsidR="002F4E11" w:rsidRPr="006802F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A339" w14:textId="77777777" w:rsidR="00830271" w:rsidRDefault="00830271" w:rsidP="009907E1">
      <w:pPr>
        <w:spacing w:after="0" w:line="240" w:lineRule="auto"/>
      </w:pPr>
      <w:r>
        <w:separator/>
      </w:r>
    </w:p>
  </w:endnote>
  <w:endnote w:type="continuationSeparator" w:id="0">
    <w:p w14:paraId="4C9D7490" w14:textId="77777777" w:rsidR="00830271" w:rsidRDefault="00830271"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0BB2" w14:textId="77777777" w:rsidR="00D4557C" w:rsidRDefault="00D45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F2C4" w14:textId="77777777" w:rsidR="00D4557C" w:rsidRDefault="00D45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9649" w14:textId="77777777" w:rsidR="00D4557C" w:rsidRDefault="00D455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9135" w14:textId="77777777" w:rsidR="00D4557C" w:rsidRDefault="00D4557C">
    <w:pPr>
      <w:pStyle w:val="Footer"/>
      <w:jc w:val="center"/>
    </w:pPr>
    <w:r>
      <w:fldChar w:fldCharType="begin"/>
    </w:r>
    <w:r>
      <w:instrText xml:space="preserve"> PAGE   \* MERGEFORMAT </w:instrText>
    </w:r>
    <w:r>
      <w:fldChar w:fldCharType="separate"/>
    </w:r>
    <w:r>
      <w:rPr>
        <w:noProof/>
      </w:rPr>
      <w:t>4</w:t>
    </w:r>
    <w:r>
      <w:rPr>
        <w:noProof/>
      </w:rPr>
      <w:fldChar w:fldCharType="end"/>
    </w:r>
  </w:p>
  <w:p w14:paraId="22077326" w14:textId="77777777" w:rsidR="00D4557C" w:rsidRDefault="00D4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E6AF" w14:textId="77777777" w:rsidR="00830271" w:rsidRDefault="00830271" w:rsidP="009907E1">
      <w:pPr>
        <w:spacing w:after="0" w:line="240" w:lineRule="auto"/>
      </w:pPr>
      <w:r>
        <w:separator/>
      </w:r>
    </w:p>
  </w:footnote>
  <w:footnote w:type="continuationSeparator" w:id="0">
    <w:p w14:paraId="74E8B147" w14:textId="77777777" w:rsidR="00830271" w:rsidRDefault="00830271" w:rsidP="009907E1">
      <w:pPr>
        <w:spacing w:after="0" w:line="240" w:lineRule="auto"/>
      </w:pPr>
      <w:r>
        <w:continuationSeparator/>
      </w:r>
    </w:p>
  </w:footnote>
  <w:footnote w:id="1">
    <w:p w14:paraId="1840A6B0" w14:textId="77777777" w:rsidR="00D4557C" w:rsidRDefault="00D4557C" w:rsidP="006802F3">
      <w:pPr>
        <w:pStyle w:val="FootnoteText"/>
      </w:pPr>
      <w:r>
        <w:rPr>
          <w:rStyle w:val="FootnoteReference"/>
        </w:rPr>
        <w:footnoteRef/>
      </w:r>
      <w:r>
        <w:tab/>
        <w:t xml:space="preserve">NUTS – bendras teritorinių statistinių vienetų klasifikatorius. Paprastai nurodomas 2 lygmens regionas. </w:t>
      </w:r>
    </w:p>
  </w:footnote>
  <w:footnote w:id="2">
    <w:p w14:paraId="03477BF1" w14:textId="77777777" w:rsidR="00D4557C" w:rsidRDefault="00D4557C" w:rsidP="006802F3">
      <w:pPr>
        <w:pStyle w:val="FootnoteText"/>
      </w:pPr>
      <w:r>
        <w:rPr>
          <w:rStyle w:val="FootnoteReference"/>
        </w:rPr>
        <w:footnoteRef/>
      </w:r>
      <w:r>
        <w:tab/>
      </w:r>
      <w:r>
        <w:t xml:space="preserve">SESV 107 straipsnio 3 dalies a punktas (statusas „A“), SESV 107 straipsnio 3 dalies c punktas (statusas „C“), neremiamos vietovės, t. y. regioninės pagalbos skyrimo reikalavimų neatitinkančios vietovės (statusas „N“). </w:t>
      </w:r>
    </w:p>
  </w:footnote>
  <w:footnote w:id="3">
    <w:p w14:paraId="686A8365" w14:textId="77777777" w:rsidR="00D4557C" w:rsidRDefault="00D4557C" w:rsidP="006802F3">
      <w:pPr>
        <w:pStyle w:val="FootnoteText"/>
      </w:pPr>
      <w:r>
        <w:rPr>
          <w:rStyle w:val="FootnoteReference"/>
        </w:rPr>
        <w:footnoteRef/>
      </w:r>
      <w:r>
        <w:tab/>
      </w:r>
      <w:r>
        <w:t xml:space="preserve">Taikant Sutartyje išdėstytas konkurencijos taisykles ir šį reglamentą įmonė yra bet kuris ekonominę veiklą vykdantis subjektas, kad ir koks jo teisinis statusas ir finansavimo būdas. Teisingumo Teismas yra nusprendęs, kad to paties subjekto (teisiškai ar </w:t>
      </w:r>
      <w:r>
        <w:rPr>
          <w:i/>
        </w:rPr>
        <w:t>de facto</w:t>
      </w:r>
      <w:r>
        <w:t>) kontroliuojami subjektai turėtų būti laikomi viena įmone.</w:t>
      </w:r>
    </w:p>
  </w:footnote>
  <w:footnote w:id="4">
    <w:p w14:paraId="593FB865" w14:textId="77777777" w:rsidR="00D4557C" w:rsidRDefault="00D4557C" w:rsidP="006802F3">
      <w:pPr>
        <w:pStyle w:val="FootnoteText"/>
      </w:pPr>
      <w:r>
        <w:rPr>
          <w:rStyle w:val="FootnoteReference"/>
        </w:rPr>
        <w:footnoteRef/>
      </w:r>
      <w:r>
        <w:tab/>
        <w:t xml:space="preserve">Laikotarpis, per kurį pagalbą teikianti institucija gali įsipareigoti suteikti pagalbą. </w:t>
      </w:r>
    </w:p>
  </w:footnote>
  <w:footnote w:id="5">
    <w:p w14:paraId="7C91F173" w14:textId="77777777" w:rsidR="00D4557C" w:rsidRDefault="00D4557C" w:rsidP="006802F3">
      <w:pPr>
        <w:pStyle w:val="FootnoteText"/>
      </w:pPr>
      <w:r>
        <w:rPr>
          <w:rStyle w:val="FootnoteReference"/>
        </w:rPr>
        <w:footnoteRef/>
      </w:r>
      <w:r>
        <w:tab/>
        <w:t xml:space="preserve">Nustatoma pagal reglamento 2 straipsnio 27 punktą. </w:t>
      </w:r>
    </w:p>
  </w:footnote>
  <w:footnote w:id="6">
    <w:p w14:paraId="05E8C52A" w14:textId="77777777" w:rsidR="00D4557C" w:rsidRDefault="00D4557C" w:rsidP="006802F3">
      <w:pPr>
        <w:pStyle w:val="FootnoteText"/>
      </w:pPr>
      <w:r>
        <w:rPr>
          <w:rStyle w:val="FootnoteReference"/>
        </w:rPr>
        <w:footnoteRef/>
      </w:r>
      <w:r>
        <w:tab/>
        <w:t>NACE 2 red. – Europos bendrijos statistinis ekonominės veiklos rūšių klasifikatorius. Paprastai sektorius nurodomas grupės lygmeniu.</w:t>
      </w:r>
    </w:p>
  </w:footnote>
  <w:footnote w:id="7">
    <w:p w14:paraId="4DE07D73" w14:textId="77777777" w:rsidR="00D4557C" w:rsidRDefault="00D4557C" w:rsidP="006802F3">
      <w:pPr>
        <w:pStyle w:val="FootnoteText"/>
      </w:pPr>
      <w:r>
        <w:rPr>
          <w:rStyle w:val="FootnoteReference"/>
        </w:rPr>
        <w:footnoteRef/>
      </w:r>
      <w:r>
        <w:tab/>
        <w:t>Jei taikoma pagalbos schema, nurodyti pagal schemą planuojamo biudžeto bendrą metinę sumą arba numatomą mokesčių nuostolį per metus visoms pagal schemą numatytoms pagalbos priemonėms.</w:t>
      </w:r>
    </w:p>
  </w:footnote>
  <w:footnote w:id="8">
    <w:p w14:paraId="38399086" w14:textId="77777777" w:rsidR="00D4557C" w:rsidRDefault="00D4557C" w:rsidP="006802F3">
      <w:pPr>
        <w:pStyle w:val="FootnoteText"/>
      </w:pPr>
      <w:r>
        <w:rPr>
          <w:rStyle w:val="FootnoteReference"/>
        </w:rPr>
        <w:footnoteRef/>
      </w:r>
      <w:r>
        <w:tab/>
        <w:t xml:space="preserve">Jei skiriama </w:t>
      </w:r>
      <w:r>
        <w:rPr>
          <w:i/>
        </w:rPr>
        <w:t>ad hoc</w:t>
      </w:r>
      <w:r>
        <w:t xml:space="preserve"> pagalba, nurodyti bendrą pagalbos sumą / mokesčių nuostolį.</w:t>
      </w:r>
    </w:p>
  </w:footnote>
  <w:footnote w:id="9">
    <w:p w14:paraId="136A462A" w14:textId="77777777" w:rsidR="00D4557C" w:rsidRDefault="00D4557C" w:rsidP="006802F3">
      <w:pPr>
        <w:pStyle w:val="FootnoteText"/>
      </w:pPr>
      <w:r>
        <w:rPr>
          <w:rStyle w:val="FootnoteReference"/>
        </w:rPr>
        <w:footnoteRef/>
      </w:r>
      <w:r>
        <w:tab/>
        <w:t xml:space="preserve">Jei taikomos garantijos, nurodyti su garantija suteiktų paskolų (didžiausią) sumą. </w:t>
      </w:r>
    </w:p>
  </w:footnote>
  <w:footnote w:id="10">
    <w:p w14:paraId="6F1278CB" w14:textId="77777777" w:rsidR="00D4557C" w:rsidRDefault="00D4557C" w:rsidP="006802F3">
      <w:pPr>
        <w:pStyle w:val="FootnoteText"/>
      </w:pPr>
      <w:r>
        <w:rPr>
          <w:rStyle w:val="FootnoteReference"/>
        </w:rPr>
        <w:footnoteRef/>
      </w:r>
      <w:r>
        <w:tab/>
      </w:r>
      <w:r>
        <w:t xml:space="preserve">Kai tinkama, nuoroda į Komisijos sprendimą, kuriuo patvirtinama bendrojo subsidijos ekvivalento apskaičiavimo metodika pagal reglamento 5 straipsnio 2 dalies c punktą. </w:t>
      </w:r>
    </w:p>
  </w:footnote>
  <w:footnote w:id="11">
    <w:p w14:paraId="19361E35" w14:textId="499F338D" w:rsidR="00D4557C" w:rsidRPr="00D4557C" w:rsidRDefault="00D4557C">
      <w:pPr>
        <w:pStyle w:val="FootnoteText"/>
        <w:rPr>
          <w:lang w:val="en-US"/>
        </w:rPr>
      </w:pPr>
      <w:r>
        <w:rPr>
          <w:rStyle w:val="FootnoteReference"/>
        </w:rPr>
        <w:footnoteRef/>
      </w:r>
      <w:r>
        <w:t xml:space="preserve">            </w:t>
      </w:r>
      <w:r w:rsidRPr="00D4557C">
        <w:t>Jeigu </w:t>
      </w:r>
      <w:proofErr w:type="spellStart"/>
      <w:r w:rsidRPr="00D4557C">
        <w:rPr>
          <w:i/>
          <w:iCs/>
        </w:rPr>
        <w:t>ad</w:t>
      </w:r>
      <w:proofErr w:type="spellEnd"/>
      <w:r w:rsidRPr="00D4557C">
        <w:rPr>
          <w:i/>
          <w:iCs/>
        </w:rPr>
        <w:t xml:space="preserve"> </w:t>
      </w:r>
      <w:proofErr w:type="spellStart"/>
      <w:r w:rsidRPr="00D4557C">
        <w:rPr>
          <w:i/>
          <w:iCs/>
        </w:rPr>
        <w:t>hoc</w:t>
      </w:r>
      <w:proofErr w:type="spellEnd"/>
      <w:r w:rsidRPr="00D4557C">
        <w:t> regioninė pagalba papildo pagal pagalbos schemą (-</w:t>
      </w:r>
      <w:proofErr w:type="spellStart"/>
      <w:r w:rsidRPr="00D4557C">
        <w:t>as</w:t>
      </w:r>
      <w:proofErr w:type="spellEnd"/>
      <w:r w:rsidRPr="00D4557C">
        <w:t>) teikiamą pagalbą, nurodykite ir pagal pagalbos schemą teikiamos pagalbos intensyvumą, ir </w:t>
      </w:r>
      <w:proofErr w:type="spellStart"/>
      <w:r w:rsidRPr="00D4557C">
        <w:rPr>
          <w:i/>
          <w:iCs/>
        </w:rPr>
        <w:t>ad</w:t>
      </w:r>
      <w:proofErr w:type="spellEnd"/>
      <w:r w:rsidRPr="00D4557C">
        <w:rPr>
          <w:i/>
          <w:iCs/>
        </w:rPr>
        <w:t xml:space="preserve"> </w:t>
      </w:r>
      <w:proofErr w:type="spellStart"/>
      <w:r w:rsidRPr="00D4557C">
        <w:rPr>
          <w:i/>
          <w:iCs/>
        </w:rPr>
        <w:t>hoc</w:t>
      </w:r>
      <w:proofErr w:type="spellEnd"/>
      <w:r w:rsidRPr="00D4557C">
        <w:t> pagalbos intensyvumą.</w:t>
      </w:r>
    </w:p>
  </w:footnote>
  <w:footnote w:id="12">
    <w:p w14:paraId="3FC47702" w14:textId="2EBE4A8D" w:rsidR="00D4557C" w:rsidRPr="00B0542C" w:rsidRDefault="00D4557C" w:rsidP="00B0542C">
      <w:pPr>
        <w:pStyle w:val="FootnoteText"/>
      </w:pPr>
      <w:r>
        <w:rPr>
          <w:rStyle w:val="FootnoteReference"/>
        </w:rPr>
        <w:footnoteRef/>
      </w:r>
      <w:r>
        <w:t xml:space="preserve"> </w:t>
      </w:r>
      <w:r w:rsidR="00B0542C">
        <w:t xml:space="preserve">          </w:t>
      </w:r>
      <w:r w:rsidR="00B0542C" w:rsidRPr="00D4557C">
        <w:t>Pagal 11 straipsnio 1 dalį teikti ataskaitas apie pagalbą, suteiktą pagal 19b straipsnį, neprivaloma. Todėl teikti ataskaitas apie tokią pagalbą nebūtina.</w:t>
      </w:r>
      <w:r w:rsidR="00B0542C">
        <w:t xml:space="preserve"> </w:t>
      </w:r>
    </w:p>
  </w:footnote>
  <w:footnote w:id="13">
    <w:p w14:paraId="0904598E" w14:textId="553EDC63" w:rsidR="00D4557C" w:rsidRPr="00D4557C" w:rsidRDefault="00D4557C">
      <w:pPr>
        <w:pStyle w:val="FootnoteText"/>
        <w:rPr>
          <w:lang w:val="en-US"/>
        </w:rPr>
      </w:pPr>
      <w:r>
        <w:rPr>
          <w:rStyle w:val="FootnoteReference"/>
        </w:rPr>
        <w:footnoteRef/>
      </w:r>
      <w:r>
        <w:t xml:space="preserve"> </w:t>
      </w:r>
      <w:r w:rsidR="00B0542C">
        <w:t xml:space="preserve">          </w:t>
      </w:r>
      <w:r w:rsidR="00B0542C" w:rsidRPr="00D4557C">
        <w:t>Pagal 11 straipsnio 1 dalį teikti ataskaitas apie pagalbą, suteiktą pagal 20a straipsnį, neprivaloma. Todėl teikti ataskaitas apie tokią pagalbą nebūtina.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7C18" w14:textId="77777777" w:rsidR="00D4557C" w:rsidRDefault="00D4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A50" w14:textId="77777777" w:rsidR="00D4557C" w:rsidRDefault="00D45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2240" w14:textId="77777777" w:rsidR="00D4557C" w:rsidRDefault="00D45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15:restartNumberingAfterBreak="0">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907E1"/>
    <w:rsid w:val="000133CC"/>
    <w:rsid w:val="00021859"/>
    <w:rsid w:val="000630D5"/>
    <w:rsid w:val="000674F4"/>
    <w:rsid w:val="000769EA"/>
    <w:rsid w:val="000A177B"/>
    <w:rsid w:val="00104724"/>
    <w:rsid w:val="00131A0B"/>
    <w:rsid w:val="00173BED"/>
    <w:rsid w:val="00174C67"/>
    <w:rsid w:val="0019096D"/>
    <w:rsid w:val="00194195"/>
    <w:rsid w:val="001A1312"/>
    <w:rsid w:val="001B4951"/>
    <w:rsid w:val="001C3686"/>
    <w:rsid w:val="001D6285"/>
    <w:rsid w:val="001F3512"/>
    <w:rsid w:val="00225C3C"/>
    <w:rsid w:val="00252078"/>
    <w:rsid w:val="00266BBA"/>
    <w:rsid w:val="00295DA9"/>
    <w:rsid w:val="002D2CDD"/>
    <w:rsid w:val="002E1F77"/>
    <w:rsid w:val="002F4E11"/>
    <w:rsid w:val="00300B9D"/>
    <w:rsid w:val="00317E7D"/>
    <w:rsid w:val="00336D85"/>
    <w:rsid w:val="00346533"/>
    <w:rsid w:val="00373028"/>
    <w:rsid w:val="003938F3"/>
    <w:rsid w:val="003A6FB6"/>
    <w:rsid w:val="003B52E8"/>
    <w:rsid w:val="003D451C"/>
    <w:rsid w:val="003E2A9E"/>
    <w:rsid w:val="003F5D25"/>
    <w:rsid w:val="003F5D67"/>
    <w:rsid w:val="004074BB"/>
    <w:rsid w:val="004556D7"/>
    <w:rsid w:val="004816AA"/>
    <w:rsid w:val="004840DB"/>
    <w:rsid w:val="00490590"/>
    <w:rsid w:val="00496D60"/>
    <w:rsid w:val="004B0708"/>
    <w:rsid w:val="004C69BB"/>
    <w:rsid w:val="00530EE1"/>
    <w:rsid w:val="005627C9"/>
    <w:rsid w:val="00563CF6"/>
    <w:rsid w:val="005B2F43"/>
    <w:rsid w:val="005D7327"/>
    <w:rsid w:val="005F4AC3"/>
    <w:rsid w:val="00603BFE"/>
    <w:rsid w:val="006101FC"/>
    <w:rsid w:val="00623B9A"/>
    <w:rsid w:val="00643D7C"/>
    <w:rsid w:val="00644E58"/>
    <w:rsid w:val="006802F3"/>
    <w:rsid w:val="006A69A9"/>
    <w:rsid w:val="006C21AF"/>
    <w:rsid w:val="00702EFC"/>
    <w:rsid w:val="00716DE2"/>
    <w:rsid w:val="007226F5"/>
    <w:rsid w:val="007253AC"/>
    <w:rsid w:val="00730B3F"/>
    <w:rsid w:val="00731772"/>
    <w:rsid w:val="00746590"/>
    <w:rsid w:val="00771D0E"/>
    <w:rsid w:val="007755D3"/>
    <w:rsid w:val="00793F50"/>
    <w:rsid w:val="0079490F"/>
    <w:rsid w:val="007B3761"/>
    <w:rsid w:val="007D014D"/>
    <w:rsid w:val="00800031"/>
    <w:rsid w:val="00807439"/>
    <w:rsid w:val="00812E2A"/>
    <w:rsid w:val="00830271"/>
    <w:rsid w:val="00875831"/>
    <w:rsid w:val="00875BDC"/>
    <w:rsid w:val="00875F73"/>
    <w:rsid w:val="00882077"/>
    <w:rsid w:val="008B7F47"/>
    <w:rsid w:val="008F70A6"/>
    <w:rsid w:val="00910434"/>
    <w:rsid w:val="00914F22"/>
    <w:rsid w:val="00923F0A"/>
    <w:rsid w:val="009473C4"/>
    <w:rsid w:val="0095358A"/>
    <w:rsid w:val="00982BC3"/>
    <w:rsid w:val="009907E1"/>
    <w:rsid w:val="00996BFF"/>
    <w:rsid w:val="009D507B"/>
    <w:rsid w:val="009D5F2A"/>
    <w:rsid w:val="009E6D0E"/>
    <w:rsid w:val="009F0324"/>
    <w:rsid w:val="009F0AAC"/>
    <w:rsid w:val="00A2056D"/>
    <w:rsid w:val="00A33BC6"/>
    <w:rsid w:val="00A6757F"/>
    <w:rsid w:val="00A80E51"/>
    <w:rsid w:val="00A962FC"/>
    <w:rsid w:val="00AB0EC7"/>
    <w:rsid w:val="00AB6AC9"/>
    <w:rsid w:val="00AF158B"/>
    <w:rsid w:val="00AF31C2"/>
    <w:rsid w:val="00B0542C"/>
    <w:rsid w:val="00B059CD"/>
    <w:rsid w:val="00B50D08"/>
    <w:rsid w:val="00B7371D"/>
    <w:rsid w:val="00B7773D"/>
    <w:rsid w:val="00B85DC3"/>
    <w:rsid w:val="00B923CC"/>
    <w:rsid w:val="00B94383"/>
    <w:rsid w:val="00BD22AC"/>
    <w:rsid w:val="00BD4211"/>
    <w:rsid w:val="00BE74A4"/>
    <w:rsid w:val="00C07A13"/>
    <w:rsid w:val="00C1141E"/>
    <w:rsid w:val="00C24D56"/>
    <w:rsid w:val="00C32A84"/>
    <w:rsid w:val="00C400FC"/>
    <w:rsid w:val="00C446F8"/>
    <w:rsid w:val="00C45426"/>
    <w:rsid w:val="00C6449A"/>
    <w:rsid w:val="00C93DA2"/>
    <w:rsid w:val="00CC3F22"/>
    <w:rsid w:val="00CE50D5"/>
    <w:rsid w:val="00D27045"/>
    <w:rsid w:val="00D3153F"/>
    <w:rsid w:val="00D4557C"/>
    <w:rsid w:val="00D46247"/>
    <w:rsid w:val="00D54A7E"/>
    <w:rsid w:val="00D5638E"/>
    <w:rsid w:val="00D57040"/>
    <w:rsid w:val="00D7688E"/>
    <w:rsid w:val="00DD6434"/>
    <w:rsid w:val="00DE3E7E"/>
    <w:rsid w:val="00E00BB1"/>
    <w:rsid w:val="00E07C95"/>
    <w:rsid w:val="00E130B9"/>
    <w:rsid w:val="00E22B52"/>
    <w:rsid w:val="00E454A1"/>
    <w:rsid w:val="00E52576"/>
    <w:rsid w:val="00E92297"/>
    <w:rsid w:val="00E93A92"/>
    <w:rsid w:val="00E9572A"/>
    <w:rsid w:val="00EE7C2D"/>
    <w:rsid w:val="00EF31E0"/>
    <w:rsid w:val="00F16E0C"/>
    <w:rsid w:val="00F2180D"/>
    <w:rsid w:val="00F21890"/>
    <w:rsid w:val="00F22C8A"/>
    <w:rsid w:val="00F3765C"/>
    <w:rsid w:val="00F40411"/>
    <w:rsid w:val="00F51BB9"/>
    <w:rsid w:val="00F62FE2"/>
    <w:rsid w:val="00F700F0"/>
    <w:rsid w:val="00F86630"/>
    <w:rsid w:val="00F8774B"/>
    <w:rsid w:val="00F9475D"/>
    <w:rsid w:val="00F94B83"/>
    <w:rsid w:val="00FA4757"/>
    <w:rsid w:val="00FB587F"/>
    <w:rsid w:val="00FF34C5"/>
    <w:rsid w:val="00FF7F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lt-LT"/>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lt-LT"/>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lt-LT"/>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lt-LT"/>
    </w:rPr>
  </w:style>
  <w:style w:type="paragraph" w:customStyle="1" w:styleId="Titrearticle">
    <w:name w:val="Titre article"/>
    <w:basedOn w:val="Normal"/>
    <w:next w:val="Normal"/>
    <w:rsid w:val="00AF31C2"/>
    <w:pPr>
      <w:keepNext/>
      <w:spacing w:before="360" w:after="120" w:line="240" w:lineRule="auto"/>
      <w:jc w:val="center"/>
    </w:pPr>
    <w:rPr>
      <w:rFonts w:ascii="Times New Roman" w:eastAsia="Times New Roman" w:hAnsi="Times New Roman"/>
      <w:i/>
      <w:sz w:val="24"/>
      <w:szCs w:val="20"/>
    </w:rPr>
  </w:style>
  <w:style w:type="character" w:styleId="CommentReference">
    <w:name w:val="annotation reference"/>
    <w:uiPriority w:val="99"/>
    <w:semiHidden/>
    <w:unhideWhenUsed/>
    <w:rsid w:val="00C45426"/>
    <w:rPr>
      <w:sz w:val="16"/>
      <w:szCs w:val="16"/>
    </w:rPr>
  </w:style>
  <w:style w:type="paragraph" w:styleId="CommentText">
    <w:name w:val="annotation text"/>
    <w:basedOn w:val="Normal"/>
    <w:link w:val="CommentTextChar"/>
    <w:uiPriority w:val="99"/>
    <w:semiHidden/>
    <w:unhideWhenUsed/>
    <w:rsid w:val="00C45426"/>
    <w:rPr>
      <w:sz w:val="20"/>
      <w:szCs w:val="20"/>
    </w:rPr>
  </w:style>
  <w:style w:type="character" w:customStyle="1" w:styleId="CommentTextChar">
    <w:name w:val="Comment Text Char"/>
    <w:link w:val="CommentText"/>
    <w:uiPriority w:val="99"/>
    <w:semiHidden/>
    <w:rsid w:val="00C45426"/>
    <w:rPr>
      <w:lang w:bidi="lt-LT"/>
    </w:rPr>
  </w:style>
  <w:style w:type="paragraph" w:styleId="CommentSubject">
    <w:name w:val="annotation subject"/>
    <w:basedOn w:val="CommentText"/>
    <w:next w:val="CommentText"/>
    <w:link w:val="CommentSubjectChar"/>
    <w:uiPriority w:val="99"/>
    <w:semiHidden/>
    <w:unhideWhenUsed/>
    <w:rsid w:val="00C45426"/>
    <w:rPr>
      <w:b/>
      <w:bCs/>
    </w:rPr>
  </w:style>
  <w:style w:type="character" w:customStyle="1" w:styleId="CommentSubjectChar">
    <w:name w:val="Comment Subject Char"/>
    <w:link w:val="CommentSubject"/>
    <w:uiPriority w:val="99"/>
    <w:semiHidden/>
    <w:rsid w:val="00C45426"/>
    <w:rPr>
      <w:b/>
      <w:bCs/>
      <w:lang w:bidi="lt-LT"/>
    </w:rPr>
  </w:style>
  <w:style w:type="paragraph" w:customStyle="1" w:styleId="oj-normal">
    <w:name w:val="oj-normal"/>
    <w:basedOn w:val="Normal"/>
    <w:rsid w:val="00BD22AC"/>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oj-tbl-hdr">
    <w:name w:val="oj-tbl-hdr"/>
    <w:basedOn w:val="Normal"/>
    <w:rsid w:val="00BD22AC"/>
    <w:pPr>
      <w:spacing w:before="100" w:beforeAutospacing="1" w:after="100" w:afterAutospacing="1" w:line="240" w:lineRule="auto"/>
    </w:pPr>
    <w:rPr>
      <w:rFonts w:ascii="Times New Roman" w:eastAsia="Times New Roman" w:hAnsi="Times New Roman"/>
      <w:sz w:val="24"/>
      <w:szCs w:val="24"/>
      <w:lang w:bidi="ar-SA"/>
    </w:rPr>
  </w:style>
  <w:style w:type="paragraph" w:customStyle="1" w:styleId="oj-tbl-txt">
    <w:name w:val="oj-tbl-txt"/>
    <w:basedOn w:val="Normal"/>
    <w:rsid w:val="00BD22AC"/>
    <w:pPr>
      <w:spacing w:before="100" w:beforeAutospacing="1" w:after="100" w:afterAutospacing="1" w:line="240" w:lineRule="auto"/>
    </w:pPr>
    <w:rPr>
      <w:rFonts w:ascii="Times New Roman" w:eastAsia="Times New Roman" w:hAnsi="Times New Roman"/>
      <w:sz w:val="24"/>
      <w:szCs w:val="24"/>
      <w:lang w:bidi="ar-SA"/>
    </w:rPr>
  </w:style>
  <w:style w:type="character" w:styleId="Hyperlink">
    <w:name w:val="Hyperlink"/>
    <w:basedOn w:val="DefaultParagraphFont"/>
    <w:uiPriority w:val="99"/>
    <w:semiHidden/>
    <w:unhideWhenUsed/>
    <w:rsid w:val="00BD22AC"/>
    <w:rPr>
      <w:color w:val="0000FF"/>
      <w:u w:val="single"/>
    </w:rPr>
  </w:style>
  <w:style w:type="character" w:customStyle="1" w:styleId="oj-super">
    <w:name w:val="oj-super"/>
    <w:basedOn w:val="DefaultParagraphFont"/>
    <w:rsid w:val="00BD22AC"/>
  </w:style>
  <w:style w:type="character" w:customStyle="1" w:styleId="oj-italic">
    <w:name w:val="oj-italic"/>
    <w:basedOn w:val="DefaultParagraphFont"/>
    <w:rsid w:val="00BD22AC"/>
  </w:style>
  <w:style w:type="paragraph" w:customStyle="1" w:styleId="oj-note">
    <w:name w:val="oj-note"/>
    <w:basedOn w:val="Normal"/>
    <w:rsid w:val="00BD22AC"/>
    <w:pPr>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18430">
      <w:bodyDiv w:val="1"/>
      <w:marLeft w:val="0"/>
      <w:marRight w:val="0"/>
      <w:marTop w:val="0"/>
      <w:marBottom w:val="0"/>
      <w:divBdr>
        <w:top w:val="none" w:sz="0" w:space="0" w:color="auto"/>
        <w:left w:val="none" w:sz="0" w:space="0" w:color="auto"/>
        <w:bottom w:val="none" w:sz="0" w:space="0" w:color="auto"/>
        <w:right w:val="none" w:sz="0" w:space="0" w:color="auto"/>
      </w:divBdr>
      <w:divsChild>
        <w:div w:id="767309274">
          <w:marLeft w:val="0"/>
          <w:marRight w:val="0"/>
          <w:marTop w:val="0"/>
          <w:marBottom w:val="0"/>
          <w:divBdr>
            <w:top w:val="none" w:sz="0" w:space="0" w:color="auto"/>
            <w:left w:val="none" w:sz="0" w:space="0" w:color="auto"/>
            <w:bottom w:val="none" w:sz="0" w:space="0" w:color="auto"/>
            <w:right w:val="none" w:sz="0" w:space="0" w:color="auto"/>
          </w:divBdr>
          <w:divsChild>
            <w:div w:id="2024671227">
              <w:marLeft w:val="0"/>
              <w:marRight w:val="0"/>
              <w:marTop w:val="0"/>
              <w:marBottom w:val="0"/>
              <w:divBdr>
                <w:top w:val="none" w:sz="0" w:space="0" w:color="auto"/>
                <w:left w:val="none" w:sz="0" w:space="0" w:color="auto"/>
                <w:bottom w:val="none" w:sz="0" w:space="0" w:color="auto"/>
                <w:right w:val="none" w:sz="0" w:space="0" w:color="auto"/>
              </w:divBdr>
              <w:divsChild>
                <w:div w:id="19786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ur-lex.europa.eu/legal-content/LT/TXT/?uri=CELEX%3A32021R1237&amp;qid=1637757273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LT/TXT/?uri=CELEX%3A32021R1237&amp;qid=163775727312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ur-lex.europa.eu/legal-content/LT/TXT/?uri=CELEX%3A32021R1237&amp;qid=1637757273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56A4-BCDC-4084-B9D5-A58A5442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9689</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2021-12-02T09:45:00Z</dcterms:created>
  <dcterms:modified xsi:type="dcterms:W3CDTF">2021-12-02T14:22:00Z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2021-12-02T09:45:23Z</vt:lpwstr>
  </property>
  <property fmtid="{D5CDD505-2E9C-101B-9397-08002B2CF9AE}" pid="4" name="MSIP_Label_fa401ad3-c3c3-4b29-b009-5b1524060aa8_Method">
    <vt:lpwstr>Standard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baccae13-bfa9-4044-9086-27f2221aea8f</vt:lpwstr>
  </property>
  <property fmtid="{D5CDD505-2E9C-101B-9397-08002B2CF9AE}" pid="8" name="MSIP_Label_fa401ad3-c3c3-4b29-b009-5b1524060aa8_ContentBits">
    <vt:lpwstr>0</vt:lpwstr>
  </property>
</Properties>
</file>